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10963"/>
      </w:tblGrid>
      <w:tr w:rsidR="00B16DFE" w14:paraId="3C634F83" w14:textId="77777777">
        <w:trPr>
          <w:tblCellSpacing w:w="30" w:type="dxa"/>
        </w:trPr>
        <w:tc>
          <w:tcPr>
            <w:tcW w:w="0" w:type="auto"/>
            <w:vAlign w:val="center"/>
          </w:tcPr>
          <w:p w14:paraId="61A61AE9" w14:textId="77777777" w:rsidR="00B16DFE" w:rsidRDefault="009F0859">
            <w:pPr>
              <w:spacing w:after="0" w:line="240" w:lineRule="atLeast"/>
              <w:rPr>
                <w:rFonts w:ascii="Arial" w:eastAsia="Arial" w:hAnsi="Arial" w:cs="Arial"/>
                <w:sz w:val="21"/>
                <w:szCs w:val="21"/>
              </w:rPr>
            </w:pPr>
            <w:r>
              <w:rPr>
                <w:noProof/>
              </w:rPr>
              <w:drawing>
                <wp:inline distT="0" distB="0" distL="0" distR="0" wp14:anchorId="6729114B" wp14:editId="2D8966A1">
                  <wp:extent cx="1943100" cy="714375"/>
                  <wp:effectExtent l="0" t="0" r="0" b="0"/>
                  <wp:docPr id="1" name="Picture 1" descr="IBISWorld Logo"/>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stretch>
                            <a:fillRect/>
                          </a:stretch>
                        </pic:blipFill>
                        <pic:spPr>
                          <a:xfrm>
                            <a:off x="0" y="0"/>
                            <a:ext cx="1943100" cy="714375"/>
                          </a:xfrm>
                          <a:prstGeom prst="rect">
                            <a:avLst/>
                          </a:prstGeom>
                        </pic:spPr>
                      </pic:pic>
                    </a:graphicData>
                  </a:graphic>
                </wp:inline>
              </w:drawing>
            </w:r>
          </w:p>
        </w:tc>
      </w:tr>
      <w:tr w:rsidR="00B16DFE" w14:paraId="715607B6" w14:textId="77777777">
        <w:trPr>
          <w:tblCellSpacing w:w="30" w:type="dxa"/>
        </w:trPr>
        <w:tc>
          <w:tcPr>
            <w:tcW w:w="0" w:type="auto"/>
            <w:vAlign w:val="center"/>
          </w:tcPr>
          <w:p w14:paraId="48EE1986" w14:textId="77777777" w:rsidR="00B16DFE" w:rsidRDefault="00B16DFE">
            <w:pPr>
              <w:spacing w:after="0" w:line="240" w:lineRule="atLeast"/>
              <w:rPr>
                <w:rFonts w:ascii="Arial" w:eastAsia="Arial" w:hAnsi="Arial" w:cs="Arial"/>
                <w:sz w:val="21"/>
                <w:szCs w:val="21"/>
              </w:rPr>
            </w:pPr>
          </w:p>
        </w:tc>
      </w:tr>
      <w:tr w:rsidR="00B16DFE" w14:paraId="2B98AB54" w14:textId="77777777">
        <w:trPr>
          <w:trHeight w:val="270"/>
          <w:tblCellSpacing w:w="30" w:type="dxa"/>
        </w:trPr>
        <w:tc>
          <w:tcPr>
            <w:tcW w:w="0" w:type="auto"/>
            <w:vAlign w:val="center"/>
          </w:tcPr>
          <w:p w14:paraId="0C72CFC0" w14:textId="77777777" w:rsidR="00B16DFE" w:rsidRDefault="009F0859">
            <w:pPr>
              <w:spacing w:after="0" w:line="270" w:lineRule="atLeast"/>
              <w:rPr>
                <w:rFonts w:ascii="Arial" w:eastAsia="Arial" w:hAnsi="Arial" w:cs="Arial"/>
                <w:sz w:val="21"/>
                <w:szCs w:val="21"/>
              </w:rPr>
            </w:pPr>
            <w:r>
              <w:rPr>
                <w:noProof/>
              </w:rPr>
              <w:drawing>
                <wp:inline distT="0" distB="0" distL="0" distR="0" wp14:anchorId="0B32F60C" wp14:editId="3D15EFBE">
                  <wp:extent cx="228600" cy="228600"/>
                  <wp:effectExtent l="0" t="0" r="0" b="0"/>
                  <wp:docPr id="3" name="Picture 3" descr="IBISWorld Logo"/>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stretch>
                            <a:fillRect/>
                          </a:stretch>
                        </pic:blipFill>
                        <pic:spPr>
                          <a:xfrm>
                            <a:off x="0" y="0"/>
                            <a:ext cx="228600" cy="228600"/>
                          </a:xfrm>
                          <a:prstGeom prst="rect">
                            <a:avLst/>
                          </a:prstGeom>
                        </pic:spPr>
                      </pic:pic>
                    </a:graphicData>
                  </a:graphic>
                </wp:inline>
              </w:drawing>
            </w:r>
            <w:r>
              <w:rPr>
                <w:rFonts w:ascii="Arial" w:eastAsia="Arial" w:hAnsi="Arial" w:cs="Arial"/>
                <w:color w:val="FFFFFF"/>
                <w:spacing w:val="22"/>
                <w:sz w:val="21"/>
                <w:szCs w:val="21"/>
              </w:rPr>
              <w:t>  INDUSTRY REPORT N79.110</w:t>
            </w:r>
          </w:p>
        </w:tc>
      </w:tr>
      <w:tr w:rsidR="00B16DFE" w14:paraId="3DD3A1BA" w14:textId="77777777">
        <w:trPr>
          <w:tblCellSpacing w:w="30" w:type="dxa"/>
        </w:trPr>
        <w:tc>
          <w:tcPr>
            <w:tcW w:w="0" w:type="auto"/>
            <w:tcMar>
              <w:top w:w="0" w:type="dxa"/>
              <w:left w:w="0" w:type="dxa"/>
              <w:bottom w:w="120" w:type="dxa"/>
              <w:right w:w="0" w:type="dxa"/>
            </w:tcMar>
            <w:vAlign w:val="center"/>
          </w:tcPr>
          <w:p w14:paraId="1AF1804C" w14:textId="77777777" w:rsidR="00B16DFE" w:rsidRDefault="009F0859">
            <w:pPr>
              <w:spacing w:after="0" w:line="360" w:lineRule="atLeast"/>
              <w:rPr>
                <w:rFonts w:ascii="Arial" w:eastAsia="Arial" w:hAnsi="Arial" w:cs="Arial"/>
                <w:sz w:val="21"/>
                <w:szCs w:val="21"/>
              </w:rPr>
            </w:pPr>
            <w:r>
              <w:rPr>
                <w:rFonts w:ascii="Arial" w:eastAsia="Arial" w:hAnsi="Arial" w:cs="Arial"/>
                <w:b/>
                <w:bCs/>
                <w:color w:val="FFFFFF"/>
                <w:spacing w:val="-8"/>
                <w:sz w:val="54"/>
                <w:szCs w:val="54"/>
              </w:rPr>
              <w:t>Travel Agencies in the UK</w:t>
            </w:r>
          </w:p>
        </w:tc>
      </w:tr>
      <w:tr w:rsidR="00B16DFE" w14:paraId="69FA279F" w14:textId="77777777">
        <w:trPr>
          <w:tblCellSpacing w:w="30" w:type="dxa"/>
        </w:trPr>
        <w:tc>
          <w:tcPr>
            <w:tcW w:w="0" w:type="auto"/>
            <w:vAlign w:val="center"/>
          </w:tcPr>
          <w:p w14:paraId="7AF0264C" w14:textId="77777777" w:rsidR="00B16DFE" w:rsidRDefault="009F0859">
            <w:pPr>
              <w:spacing w:after="0" w:line="240" w:lineRule="atLeast"/>
              <w:rPr>
                <w:rFonts w:ascii="Arial" w:eastAsia="Arial" w:hAnsi="Arial" w:cs="Arial"/>
                <w:sz w:val="21"/>
                <w:szCs w:val="21"/>
              </w:rPr>
            </w:pPr>
            <w:r>
              <w:rPr>
                <w:noProof/>
              </w:rPr>
              <w:drawing>
                <wp:inline distT="0" distB="0" distL="0" distR="0" wp14:anchorId="0D9B2D82" wp14:editId="152D93C5">
                  <wp:extent cx="952500" cy="38100"/>
                  <wp:effectExtent l="0" t="0" r="0" b="0"/>
                  <wp:docPr id="5" name="Picture 5" descr="Divider"/>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stretch>
                            <a:fillRect/>
                          </a:stretch>
                        </pic:blipFill>
                        <pic:spPr>
                          <a:xfrm>
                            <a:off x="0" y="0"/>
                            <a:ext cx="952500" cy="38100"/>
                          </a:xfrm>
                          <a:prstGeom prst="rect">
                            <a:avLst/>
                          </a:prstGeom>
                        </pic:spPr>
                      </pic:pic>
                    </a:graphicData>
                  </a:graphic>
                </wp:inline>
              </w:drawing>
            </w:r>
          </w:p>
        </w:tc>
      </w:tr>
      <w:tr w:rsidR="00B16DFE" w14:paraId="66D6D7ED" w14:textId="77777777">
        <w:trPr>
          <w:tblCellSpacing w:w="30" w:type="dxa"/>
        </w:trPr>
        <w:tc>
          <w:tcPr>
            <w:tcW w:w="0" w:type="auto"/>
            <w:vAlign w:val="center"/>
          </w:tcPr>
          <w:p w14:paraId="3CCEDBE6" w14:textId="77777777" w:rsidR="00B16DFE" w:rsidRDefault="00B16DFE">
            <w:pPr>
              <w:spacing w:after="0" w:line="240" w:lineRule="atLeast"/>
              <w:rPr>
                <w:rFonts w:ascii="Arial" w:eastAsia="Arial" w:hAnsi="Arial" w:cs="Arial"/>
                <w:sz w:val="21"/>
                <w:szCs w:val="21"/>
              </w:rPr>
            </w:pPr>
          </w:p>
        </w:tc>
      </w:tr>
      <w:tr w:rsidR="00B16DFE" w14:paraId="6F7B8F87" w14:textId="77777777">
        <w:trPr>
          <w:tblCellSpacing w:w="30" w:type="dxa"/>
        </w:trPr>
        <w:tc>
          <w:tcPr>
            <w:tcW w:w="0" w:type="auto"/>
            <w:tcMar>
              <w:top w:w="0" w:type="dxa"/>
              <w:left w:w="0" w:type="dxa"/>
              <w:bottom w:w="240" w:type="dxa"/>
              <w:right w:w="0" w:type="dxa"/>
            </w:tcMar>
            <w:vAlign w:val="center"/>
          </w:tcPr>
          <w:p w14:paraId="5B2682FA" w14:textId="77777777" w:rsidR="00B16DFE" w:rsidRDefault="009F0859">
            <w:pPr>
              <w:spacing w:after="0" w:line="330" w:lineRule="atLeast"/>
              <w:rPr>
                <w:rFonts w:ascii="Arial" w:eastAsia="Arial" w:hAnsi="Arial" w:cs="Arial"/>
                <w:sz w:val="21"/>
                <w:szCs w:val="21"/>
              </w:rPr>
            </w:pPr>
            <w:r>
              <w:rPr>
                <w:rFonts w:ascii="Arial" w:eastAsia="Arial" w:hAnsi="Arial" w:cs="Arial"/>
                <w:color w:val="FFFFFF"/>
                <w:sz w:val="27"/>
                <w:szCs w:val="27"/>
              </w:rPr>
              <w:t>Needing a break: The industry is likely to suffer while some countries require travellers to self-isolate</w:t>
            </w:r>
          </w:p>
        </w:tc>
      </w:tr>
      <w:tr w:rsidR="00B16DFE" w14:paraId="542B1388" w14:textId="77777777">
        <w:trPr>
          <w:tblCellSpacing w:w="30" w:type="dxa"/>
        </w:trPr>
        <w:tc>
          <w:tcPr>
            <w:tcW w:w="0" w:type="auto"/>
            <w:vAlign w:val="center"/>
          </w:tcPr>
          <w:p w14:paraId="723E1EA8" w14:textId="77777777" w:rsidR="00B16DFE" w:rsidRDefault="009F0859">
            <w:pPr>
              <w:spacing w:after="0" w:line="300" w:lineRule="atLeast"/>
              <w:rPr>
                <w:rFonts w:ascii="Arial" w:eastAsia="Arial" w:hAnsi="Arial" w:cs="Arial"/>
                <w:sz w:val="21"/>
                <w:szCs w:val="21"/>
              </w:rPr>
            </w:pPr>
            <w:r>
              <w:rPr>
                <w:rFonts w:ascii="Arial" w:eastAsia="Arial" w:hAnsi="Arial" w:cs="Arial"/>
                <w:color w:val="FFFFFF"/>
                <w:sz w:val="24"/>
                <w:szCs w:val="24"/>
              </w:rPr>
              <w:t xml:space="preserve">Alice </w:t>
            </w:r>
            <w:proofErr w:type="gramStart"/>
            <w:r>
              <w:rPr>
                <w:rFonts w:ascii="Arial" w:eastAsia="Arial" w:hAnsi="Arial" w:cs="Arial"/>
                <w:color w:val="FFFFFF"/>
                <w:sz w:val="24"/>
                <w:szCs w:val="24"/>
              </w:rPr>
              <w:t>Crundwell  |</w:t>
            </w:r>
            <w:proofErr w:type="gramEnd"/>
            <w:r>
              <w:rPr>
                <w:rFonts w:ascii="Arial" w:eastAsia="Arial" w:hAnsi="Arial" w:cs="Arial"/>
                <w:color w:val="FFFFFF"/>
                <w:sz w:val="24"/>
                <w:szCs w:val="24"/>
              </w:rPr>
              <w:t>  October 2020</w:t>
            </w:r>
          </w:p>
        </w:tc>
      </w:tr>
    </w:tbl>
    <w:p w14:paraId="13993608" w14:textId="77777777" w:rsidR="00B16DFE" w:rsidRDefault="00B16DFE"/>
    <w:p w14:paraId="77BA7A6A" w14:textId="77777777" w:rsidR="00B16DFE" w:rsidRDefault="009F0859">
      <w:pPr>
        <w:sectPr w:rsidR="00B16DFE">
          <w:footerReference w:type="first" r:id="rId10"/>
          <w:pgSz w:w="11907" w:h="16839" w:code="9"/>
          <w:pgMar w:top="800" w:right="640" w:bottom="1417" w:left="640" w:header="0" w:footer="300" w:gutter="0"/>
          <w:cols w:space="708"/>
          <w:titlePg/>
          <w:docGrid w:linePitch="360"/>
        </w:sectPr>
      </w:pPr>
      <w:r>
        <w:t xml:space="preserve"> </w:t>
      </w:r>
      <w:r>
        <w:rPr>
          <w:noProof/>
        </w:rPr>
        <w:drawing>
          <wp:anchor distT="0" distB="0" distL="115200" distR="115200" simplePos="0" relativeHeight="251655680" behindDoc="1" locked="0" layoutInCell="1" allowOverlap="1" wp14:anchorId="108AA13F" wp14:editId="3158959A">
            <wp:simplePos x="0" y="0"/>
            <wp:positionH relativeFrom="page">
              <wp:align>left</wp:align>
            </wp:positionH>
            <wp:positionV relativeFrom="page">
              <wp:posOffset>-914400</wp:posOffset>
            </wp:positionV>
            <wp:extent cx="11430000" cy="7620000"/>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stretch>
                      <a:fillRect/>
                    </a:stretch>
                  </pic:blipFill>
                  <pic:spPr>
                    <a:xfrm>
                      <a:off x="0" y="0"/>
                      <a:ext cx="11430000" cy="7620000"/>
                    </a:xfrm>
                    <a:prstGeom prst="rect">
                      <a:avLst/>
                    </a:prstGeom>
                  </pic:spPr>
                </pic:pic>
              </a:graphicData>
            </a:graphic>
          </wp:anchor>
        </w:drawing>
      </w:r>
    </w:p>
    <w:p w14:paraId="47F72679" w14:textId="77777777" w:rsidR="00B16DFE" w:rsidRDefault="009F0859">
      <w:pPr>
        <w:pStyle w:val="Heading3"/>
        <w:spacing w:before="0" w:after="210" w:line="390" w:lineRule="atLeast"/>
        <w:rPr>
          <w:rFonts w:ascii="Arial" w:eastAsia="Arial" w:hAnsi="Arial" w:cs="Arial"/>
          <w:b w:val="0"/>
          <w:bCs w:val="0"/>
          <w:color w:val="333333"/>
          <w:sz w:val="36"/>
          <w:szCs w:val="36"/>
        </w:rPr>
      </w:pPr>
      <w:r>
        <w:rPr>
          <w:rFonts w:ascii="Arial" w:eastAsia="Arial" w:hAnsi="Arial" w:cs="Arial"/>
          <w:b w:val="0"/>
          <w:bCs w:val="0"/>
          <w:color w:val="333333"/>
          <w:sz w:val="36"/>
          <w:szCs w:val="36"/>
        </w:rPr>
        <w:lastRenderedPageBreak/>
        <w:t>Contents</w:t>
      </w:r>
    </w:p>
    <w:p w14:paraId="6F8BD46F" w14:textId="77777777" w:rsidR="00B16DFE" w:rsidRDefault="00B16DFE">
      <w:pPr>
        <w:sectPr w:rsidR="00B16DFE">
          <w:headerReference w:type="default" r:id="rId12"/>
          <w:footerReference w:type="default" r:id="rId13"/>
          <w:pgSz w:w="11907" w:h="16839" w:code="9"/>
          <w:pgMar w:top="800" w:right="640" w:bottom="1417" w:left="640" w:header="0" w:footer="0" w:gutter="0"/>
          <w:cols w:space="708"/>
          <w:docGrid w:linePitch="360"/>
        </w:sectPr>
      </w:pPr>
    </w:p>
    <w:p w14:paraId="6261966A" w14:textId="77777777" w:rsidR="00B16DFE" w:rsidRDefault="009F0859">
      <w:pPr>
        <w:pStyle w:val="TOC2"/>
        <w:tabs>
          <w:tab w:val="right" w:leader="dot" w:pos="4606"/>
        </w:tabs>
      </w:pPr>
      <w:r>
        <w:fldChar w:fldCharType="begin"/>
      </w:r>
      <w:r>
        <w:instrText>TOC \o "1-2" \h \u \z</w:instrText>
      </w:r>
      <w:r>
        <w:fldChar w:fldCharType="separate"/>
      </w:r>
      <w:hyperlink w:anchor="_Toc1">
        <w:r>
          <w:rPr>
            <w:spacing w:val="4"/>
          </w:rPr>
          <w:t>COVID-19 (Coronavirus)</w:t>
        </w:r>
        <w:r>
          <w:t xml:space="preserve"> </w:t>
        </w:r>
        <w:r>
          <w:rPr>
            <w:spacing w:val="4"/>
          </w:rPr>
          <w:t xml:space="preserve">Impact </w:t>
        </w:r>
        <w:r>
          <w:rPr>
            <w:spacing w:val="4"/>
          </w:rPr>
          <w:t>Update</w:t>
        </w:r>
        <w:r>
          <w:tab/>
        </w:r>
        <w:r>
          <w:fldChar w:fldCharType="begin"/>
        </w:r>
        <w:r>
          <w:instrText>PAGEREF _Toc1 \h</w:instrText>
        </w:r>
        <w:r>
          <w:fldChar w:fldCharType="separate"/>
        </w:r>
        <w:r>
          <w:t>3</w:t>
        </w:r>
        <w:r>
          <w:fldChar w:fldCharType="end"/>
        </w:r>
      </w:hyperlink>
    </w:p>
    <w:p w14:paraId="54D45685" w14:textId="77777777" w:rsidR="00B16DFE" w:rsidRDefault="009F0859">
      <w:pPr>
        <w:pStyle w:val="TOC1"/>
        <w:tabs>
          <w:tab w:val="right" w:leader="dot" w:pos="4606"/>
        </w:tabs>
      </w:pPr>
      <w:hyperlink w:anchor="_Toc2">
        <w:r>
          <w:t>About This Industry</w:t>
        </w:r>
        <w:r>
          <w:tab/>
        </w:r>
        <w:r>
          <w:fldChar w:fldCharType="begin"/>
        </w:r>
        <w:r>
          <w:instrText>PAGEREF _Toc2 \h</w:instrText>
        </w:r>
        <w:r>
          <w:fldChar w:fldCharType="separate"/>
        </w:r>
        <w:r>
          <w:t>5</w:t>
        </w:r>
        <w:r>
          <w:fldChar w:fldCharType="end"/>
        </w:r>
      </w:hyperlink>
    </w:p>
    <w:p w14:paraId="71080960" w14:textId="77777777" w:rsidR="00B16DFE" w:rsidRDefault="009F0859">
      <w:pPr>
        <w:pStyle w:val="TOC2"/>
        <w:tabs>
          <w:tab w:val="right" w:leader="dot" w:pos="4606"/>
        </w:tabs>
      </w:pPr>
      <w:hyperlink w:anchor="_Toc3">
        <w:r>
          <w:rPr>
            <w:spacing w:val="4"/>
          </w:rPr>
          <w:t>Industry Definition</w:t>
        </w:r>
        <w:r>
          <w:tab/>
        </w:r>
        <w:r>
          <w:fldChar w:fldCharType="begin"/>
        </w:r>
        <w:r>
          <w:instrText>PAGEREF _Toc3 \h</w:instrText>
        </w:r>
        <w:r>
          <w:fldChar w:fldCharType="separate"/>
        </w:r>
        <w:r>
          <w:t>5</w:t>
        </w:r>
        <w:r>
          <w:fldChar w:fldCharType="end"/>
        </w:r>
      </w:hyperlink>
    </w:p>
    <w:p w14:paraId="5C5C98A4" w14:textId="77777777" w:rsidR="00B16DFE" w:rsidRDefault="009F0859">
      <w:pPr>
        <w:pStyle w:val="TOC2"/>
        <w:tabs>
          <w:tab w:val="right" w:leader="dot" w:pos="4606"/>
        </w:tabs>
      </w:pPr>
      <w:hyperlink w:anchor="_Toc4">
        <w:r>
          <w:rPr>
            <w:spacing w:val="4"/>
          </w:rPr>
          <w:t>Major Players</w:t>
        </w:r>
        <w:r>
          <w:tab/>
        </w:r>
        <w:r>
          <w:fldChar w:fldCharType="begin"/>
        </w:r>
        <w:r>
          <w:instrText>PAGEREF _Toc4 \h</w:instrText>
        </w:r>
        <w:r>
          <w:fldChar w:fldCharType="separate"/>
        </w:r>
        <w:r>
          <w:t>5</w:t>
        </w:r>
        <w:r>
          <w:fldChar w:fldCharType="end"/>
        </w:r>
      </w:hyperlink>
    </w:p>
    <w:p w14:paraId="6758B3A7" w14:textId="77777777" w:rsidR="00B16DFE" w:rsidRDefault="009F0859">
      <w:pPr>
        <w:pStyle w:val="TOC2"/>
        <w:tabs>
          <w:tab w:val="right" w:leader="dot" w:pos="4606"/>
        </w:tabs>
      </w:pPr>
      <w:hyperlink w:anchor="_Toc5">
        <w:r>
          <w:rPr>
            <w:spacing w:val="4"/>
          </w:rPr>
          <w:t>Main Activities</w:t>
        </w:r>
        <w:r>
          <w:tab/>
        </w:r>
        <w:r>
          <w:fldChar w:fldCharType="begin"/>
        </w:r>
        <w:r>
          <w:instrText>PAGEREF _Toc5 \h</w:instrText>
        </w:r>
        <w:r>
          <w:fldChar w:fldCharType="separate"/>
        </w:r>
        <w:r>
          <w:t>5</w:t>
        </w:r>
        <w:r>
          <w:fldChar w:fldCharType="end"/>
        </w:r>
      </w:hyperlink>
    </w:p>
    <w:p w14:paraId="50F0F2F8" w14:textId="77777777" w:rsidR="00B16DFE" w:rsidRDefault="009F0859">
      <w:pPr>
        <w:pStyle w:val="TOC2"/>
        <w:tabs>
          <w:tab w:val="right" w:leader="dot" w:pos="4606"/>
        </w:tabs>
      </w:pPr>
      <w:hyperlink w:anchor="_Toc6">
        <w:r>
          <w:rPr>
            <w:spacing w:val="4"/>
          </w:rPr>
          <w:t>Supply Chain</w:t>
        </w:r>
        <w:r>
          <w:tab/>
        </w:r>
        <w:r>
          <w:fldChar w:fldCharType="begin"/>
        </w:r>
        <w:r>
          <w:instrText>PAGEREF _Toc6 \h</w:instrText>
        </w:r>
        <w:r>
          <w:fldChar w:fldCharType="separate"/>
        </w:r>
        <w:r>
          <w:t>6</w:t>
        </w:r>
        <w:r>
          <w:fldChar w:fldCharType="end"/>
        </w:r>
      </w:hyperlink>
    </w:p>
    <w:p w14:paraId="46A6041D" w14:textId="77777777" w:rsidR="00B16DFE" w:rsidRDefault="009F0859">
      <w:pPr>
        <w:pStyle w:val="TOC1"/>
        <w:tabs>
          <w:tab w:val="right" w:leader="dot" w:pos="4606"/>
        </w:tabs>
      </w:pPr>
      <w:hyperlink w:anchor="_Toc7">
        <w:r>
          <w:t>Industry at a Glance</w:t>
        </w:r>
        <w:r>
          <w:tab/>
        </w:r>
        <w:r>
          <w:fldChar w:fldCharType="begin"/>
        </w:r>
        <w:r>
          <w:instrText>PAGEREF _Toc7 \h</w:instrText>
        </w:r>
        <w:r>
          <w:fldChar w:fldCharType="separate"/>
        </w:r>
        <w:r>
          <w:t>7</w:t>
        </w:r>
        <w:r>
          <w:fldChar w:fldCharType="end"/>
        </w:r>
      </w:hyperlink>
    </w:p>
    <w:p w14:paraId="69F89537" w14:textId="77777777" w:rsidR="00B16DFE" w:rsidRDefault="009F0859">
      <w:pPr>
        <w:pStyle w:val="TOC2"/>
        <w:tabs>
          <w:tab w:val="right" w:leader="dot" w:pos="4606"/>
        </w:tabs>
      </w:pPr>
      <w:hyperlink w:anchor="_Toc8">
        <w:r>
          <w:rPr>
            <w:spacing w:val="4"/>
          </w:rPr>
          <w:t>Executive Summary</w:t>
        </w:r>
        <w:r>
          <w:tab/>
        </w:r>
        <w:r>
          <w:fldChar w:fldCharType="begin"/>
        </w:r>
        <w:r>
          <w:instrText>PAGEREF _Toc8 \h</w:instrText>
        </w:r>
        <w:r>
          <w:fldChar w:fldCharType="separate"/>
        </w:r>
        <w:r>
          <w:t>9</w:t>
        </w:r>
        <w:r>
          <w:fldChar w:fldCharType="end"/>
        </w:r>
      </w:hyperlink>
    </w:p>
    <w:p w14:paraId="0081402B" w14:textId="77777777" w:rsidR="00B16DFE" w:rsidRDefault="009F0859">
      <w:pPr>
        <w:pStyle w:val="TOC1"/>
        <w:tabs>
          <w:tab w:val="right" w:leader="dot" w:pos="4606"/>
        </w:tabs>
      </w:pPr>
      <w:hyperlink w:anchor="_Toc9">
        <w:r>
          <w:t>Industry Performance</w:t>
        </w:r>
        <w:r>
          <w:tab/>
        </w:r>
        <w:r>
          <w:fldChar w:fldCharType="begin"/>
        </w:r>
        <w:r>
          <w:instrText>PAGEREF _Toc9 \h</w:instrText>
        </w:r>
        <w:r>
          <w:fldChar w:fldCharType="separate"/>
        </w:r>
        <w:r>
          <w:t>10</w:t>
        </w:r>
        <w:r>
          <w:fldChar w:fldCharType="end"/>
        </w:r>
      </w:hyperlink>
    </w:p>
    <w:p w14:paraId="79875549" w14:textId="77777777" w:rsidR="00B16DFE" w:rsidRDefault="009F0859">
      <w:pPr>
        <w:pStyle w:val="TOC2"/>
        <w:tabs>
          <w:tab w:val="right" w:leader="dot" w:pos="4606"/>
        </w:tabs>
      </w:pPr>
      <w:hyperlink w:anchor="_Toc10">
        <w:r>
          <w:rPr>
            <w:spacing w:val="4"/>
          </w:rPr>
          <w:t xml:space="preserve">Key External </w:t>
        </w:r>
        <w:r>
          <w:t xml:space="preserve"> </w:t>
        </w:r>
        <w:r>
          <w:rPr>
            <w:spacing w:val="4"/>
          </w:rPr>
          <w:t>Drivers</w:t>
        </w:r>
        <w:r>
          <w:tab/>
        </w:r>
        <w:r>
          <w:fldChar w:fldCharType="begin"/>
        </w:r>
        <w:r>
          <w:instrText>PAGEREF _Toc10 \h</w:instrText>
        </w:r>
        <w:r>
          <w:fldChar w:fldCharType="separate"/>
        </w:r>
        <w:r>
          <w:t>10</w:t>
        </w:r>
        <w:r>
          <w:fldChar w:fldCharType="end"/>
        </w:r>
      </w:hyperlink>
    </w:p>
    <w:p w14:paraId="57DFBD0B" w14:textId="77777777" w:rsidR="00B16DFE" w:rsidRDefault="009F0859">
      <w:pPr>
        <w:pStyle w:val="TOC2"/>
        <w:tabs>
          <w:tab w:val="right" w:leader="dot" w:pos="4606"/>
        </w:tabs>
      </w:pPr>
      <w:hyperlink w:anchor="_Toc11">
        <w:r>
          <w:rPr>
            <w:spacing w:val="4"/>
          </w:rPr>
          <w:t xml:space="preserve">Current </w:t>
        </w:r>
        <w:r>
          <w:t xml:space="preserve"> </w:t>
        </w:r>
        <w:r>
          <w:rPr>
            <w:spacing w:val="4"/>
          </w:rPr>
          <w:t>Performance</w:t>
        </w:r>
        <w:r>
          <w:tab/>
        </w:r>
        <w:r>
          <w:fldChar w:fldCharType="begin"/>
        </w:r>
        <w:r>
          <w:instrText>PAGEREF _Toc11 \h</w:instrText>
        </w:r>
        <w:r>
          <w:fldChar w:fldCharType="separate"/>
        </w:r>
        <w:r>
          <w:t>11</w:t>
        </w:r>
        <w:r>
          <w:fldChar w:fldCharType="end"/>
        </w:r>
      </w:hyperlink>
    </w:p>
    <w:p w14:paraId="3D642730" w14:textId="77777777" w:rsidR="00B16DFE" w:rsidRDefault="009F0859">
      <w:pPr>
        <w:pStyle w:val="TOC1"/>
        <w:tabs>
          <w:tab w:val="right" w:leader="dot" w:pos="4606"/>
        </w:tabs>
      </w:pPr>
      <w:hyperlink w:anchor="_Toc12">
        <w:r>
          <w:t>Industry Outlook</w:t>
        </w:r>
        <w:r>
          <w:tab/>
        </w:r>
        <w:r>
          <w:fldChar w:fldCharType="begin"/>
        </w:r>
        <w:r>
          <w:instrText>PAGEREF _Toc12 \h</w:instrText>
        </w:r>
        <w:r>
          <w:fldChar w:fldCharType="separate"/>
        </w:r>
        <w:r>
          <w:t>14</w:t>
        </w:r>
        <w:r>
          <w:fldChar w:fldCharType="end"/>
        </w:r>
      </w:hyperlink>
    </w:p>
    <w:p w14:paraId="46402E42" w14:textId="77777777" w:rsidR="00B16DFE" w:rsidRDefault="009F0859">
      <w:pPr>
        <w:pStyle w:val="TOC2"/>
        <w:tabs>
          <w:tab w:val="right" w:leader="dot" w:pos="4606"/>
        </w:tabs>
      </w:pPr>
      <w:hyperlink w:anchor="_Toc13">
        <w:r>
          <w:rPr>
            <w:spacing w:val="4"/>
          </w:rPr>
          <w:t>Outlook</w:t>
        </w:r>
        <w:r>
          <w:tab/>
        </w:r>
        <w:r>
          <w:fldChar w:fldCharType="begin"/>
        </w:r>
        <w:r>
          <w:instrText>PAGEREF _Toc13 \h</w:instrText>
        </w:r>
        <w:r>
          <w:fldChar w:fldCharType="separate"/>
        </w:r>
        <w:r>
          <w:t>14</w:t>
        </w:r>
        <w:r>
          <w:fldChar w:fldCharType="end"/>
        </w:r>
      </w:hyperlink>
    </w:p>
    <w:p w14:paraId="273B814E" w14:textId="77777777" w:rsidR="00B16DFE" w:rsidRDefault="009F0859">
      <w:pPr>
        <w:pStyle w:val="TOC2"/>
        <w:tabs>
          <w:tab w:val="right" w:leader="dot" w:pos="4606"/>
        </w:tabs>
      </w:pPr>
      <w:hyperlink w:anchor="_Toc14">
        <w:r>
          <w:rPr>
            <w:spacing w:val="4"/>
          </w:rPr>
          <w:t>Industry Life Cycle</w:t>
        </w:r>
        <w:r>
          <w:tab/>
        </w:r>
        <w:r>
          <w:fldChar w:fldCharType="begin"/>
        </w:r>
        <w:r>
          <w:instrText>PAGEREF _Toc14 \h</w:instrText>
        </w:r>
        <w:r>
          <w:fldChar w:fldCharType="separate"/>
        </w:r>
        <w:r>
          <w:t>16</w:t>
        </w:r>
        <w:r>
          <w:fldChar w:fldCharType="end"/>
        </w:r>
      </w:hyperlink>
    </w:p>
    <w:p w14:paraId="30DC5352" w14:textId="77777777" w:rsidR="00B16DFE" w:rsidRDefault="009F0859">
      <w:pPr>
        <w:pStyle w:val="TOC1"/>
        <w:tabs>
          <w:tab w:val="right" w:leader="dot" w:pos="4606"/>
        </w:tabs>
      </w:pPr>
      <w:hyperlink w:anchor="_Toc15">
        <w:r>
          <w:t>Products &amp; Markets</w:t>
        </w:r>
        <w:r>
          <w:tab/>
        </w:r>
        <w:r>
          <w:fldChar w:fldCharType="begin"/>
        </w:r>
        <w:r>
          <w:instrText>PAGEREF _Toc15 \h</w:instrText>
        </w:r>
        <w:r>
          <w:fldChar w:fldCharType="separate"/>
        </w:r>
        <w:r>
          <w:t>17</w:t>
        </w:r>
        <w:r>
          <w:fldChar w:fldCharType="end"/>
        </w:r>
      </w:hyperlink>
    </w:p>
    <w:p w14:paraId="0F753D4B" w14:textId="77777777" w:rsidR="00B16DFE" w:rsidRDefault="009F0859">
      <w:pPr>
        <w:pStyle w:val="TOC2"/>
        <w:tabs>
          <w:tab w:val="right" w:leader="dot" w:pos="4606"/>
        </w:tabs>
      </w:pPr>
      <w:hyperlink w:anchor="_Toc16">
        <w:r>
          <w:rPr>
            <w:spacing w:val="4"/>
          </w:rPr>
          <w:t>Supply Chain</w:t>
        </w:r>
        <w:r>
          <w:tab/>
        </w:r>
        <w:r>
          <w:fldChar w:fldCharType="begin"/>
        </w:r>
        <w:r>
          <w:instrText>PAGEREF _Toc16 \h</w:instrText>
        </w:r>
        <w:r>
          <w:fldChar w:fldCharType="separate"/>
        </w:r>
        <w:r>
          <w:t>17</w:t>
        </w:r>
        <w:r>
          <w:fldChar w:fldCharType="end"/>
        </w:r>
      </w:hyperlink>
    </w:p>
    <w:p w14:paraId="1FBD2B2F" w14:textId="77777777" w:rsidR="00B16DFE" w:rsidRDefault="009F0859">
      <w:pPr>
        <w:pStyle w:val="TOC2"/>
        <w:tabs>
          <w:tab w:val="right" w:leader="dot" w:pos="4606"/>
        </w:tabs>
      </w:pPr>
      <w:hyperlink w:anchor="_Toc17">
        <w:r>
          <w:rPr>
            <w:spacing w:val="4"/>
          </w:rPr>
          <w:t>Products &amp; Services</w:t>
        </w:r>
        <w:r>
          <w:tab/>
        </w:r>
        <w:r>
          <w:fldChar w:fldCharType="begin"/>
        </w:r>
        <w:r>
          <w:instrText>PAGEREF _Toc17 \h</w:instrText>
        </w:r>
        <w:r>
          <w:fldChar w:fldCharType="separate"/>
        </w:r>
        <w:r>
          <w:t>17</w:t>
        </w:r>
        <w:r>
          <w:fldChar w:fldCharType="end"/>
        </w:r>
      </w:hyperlink>
    </w:p>
    <w:p w14:paraId="372E61BF" w14:textId="77777777" w:rsidR="00B16DFE" w:rsidRDefault="009F0859">
      <w:pPr>
        <w:pStyle w:val="TOC2"/>
        <w:tabs>
          <w:tab w:val="right" w:leader="dot" w:pos="4606"/>
        </w:tabs>
      </w:pPr>
      <w:hyperlink w:anchor="_Toc18">
        <w:r>
          <w:rPr>
            <w:spacing w:val="4"/>
          </w:rPr>
          <w:t>Major Markets</w:t>
        </w:r>
        <w:r>
          <w:tab/>
        </w:r>
        <w:r>
          <w:fldChar w:fldCharType="begin"/>
        </w:r>
        <w:r>
          <w:instrText>PAGEREF _Toc18 \h</w:instrText>
        </w:r>
        <w:r>
          <w:fldChar w:fldCharType="separate"/>
        </w:r>
        <w:r>
          <w:t>18</w:t>
        </w:r>
        <w:r>
          <w:fldChar w:fldCharType="end"/>
        </w:r>
      </w:hyperlink>
    </w:p>
    <w:p w14:paraId="0968B4A8" w14:textId="77777777" w:rsidR="00B16DFE" w:rsidRDefault="009F0859">
      <w:pPr>
        <w:pStyle w:val="TOC2"/>
        <w:tabs>
          <w:tab w:val="right" w:leader="dot" w:pos="4606"/>
        </w:tabs>
      </w:pPr>
      <w:hyperlink w:anchor="_Toc19">
        <w:r>
          <w:rPr>
            <w:spacing w:val="4"/>
          </w:rPr>
          <w:t>Business Locations</w:t>
        </w:r>
        <w:r>
          <w:tab/>
        </w:r>
        <w:r>
          <w:fldChar w:fldCharType="begin"/>
        </w:r>
        <w:r>
          <w:instrText>PAGEREF _Toc19 \h</w:instrText>
        </w:r>
        <w:r>
          <w:fldChar w:fldCharType="separate"/>
        </w:r>
        <w:r>
          <w:t>19</w:t>
        </w:r>
        <w:r>
          <w:fldChar w:fldCharType="end"/>
        </w:r>
      </w:hyperlink>
    </w:p>
    <w:p w14:paraId="10E74376" w14:textId="77777777" w:rsidR="00B16DFE" w:rsidRDefault="009F0859">
      <w:pPr>
        <w:pStyle w:val="TOC1"/>
        <w:tabs>
          <w:tab w:val="right" w:leader="dot" w:pos="4606"/>
        </w:tabs>
      </w:pPr>
      <w:hyperlink w:anchor="_Toc20">
        <w:r>
          <w:t>Competitive Landscape</w:t>
        </w:r>
        <w:r>
          <w:tab/>
        </w:r>
        <w:r>
          <w:fldChar w:fldCharType="begin"/>
        </w:r>
        <w:r>
          <w:instrText>PAGEREF _Toc20 \h</w:instrText>
        </w:r>
        <w:r>
          <w:fldChar w:fldCharType="separate"/>
        </w:r>
        <w:r>
          <w:t>22</w:t>
        </w:r>
        <w:r>
          <w:fldChar w:fldCharType="end"/>
        </w:r>
      </w:hyperlink>
    </w:p>
    <w:p w14:paraId="1313C2B6" w14:textId="77777777" w:rsidR="00B16DFE" w:rsidRDefault="009F0859">
      <w:pPr>
        <w:pStyle w:val="TOC2"/>
        <w:tabs>
          <w:tab w:val="right" w:leader="dot" w:pos="4606"/>
        </w:tabs>
      </w:pPr>
      <w:hyperlink w:anchor="_Toc21">
        <w:r>
          <w:rPr>
            <w:spacing w:val="4"/>
          </w:rPr>
          <w:t>Market Share Concentration</w:t>
        </w:r>
        <w:r>
          <w:tab/>
        </w:r>
        <w:r>
          <w:fldChar w:fldCharType="begin"/>
        </w:r>
        <w:r>
          <w:instrText>PAGEREF _Toc21 \h</w:instrText>
        </w:r>
        <w:r>
          <w:fldChar w:fldCharType="separate"/>
        </w:r>
        <w:r>
          <w:t>22</w:t>
        </w:r>
        <w:r>
          <w:fldChar w:fldCharType="end"/>
        </w:r>
      </w:hyperlink>
    </w:p>
    <w:p w14:paraId="78218679" w14:textId="77777777" w:rsidR="00B16DFE" w:rsidRDefault="009F0859">
      <w:pPr>
        <w:pStyle w:val="TOC2"/>
        <w:tabs>
          <w:tab w:val="right" w:leader="dot" w:pos="4606"/>
        </w:tabs>
      </w:pPr>
      <w:hyperlink w:anchor="_Toc22">
        <w:r>
          <w:rPr>
            <w:spacing w:val="4"/>
          </w:rPr>
          <w:t xml:space="preserve">Key Success </w:t>
        </w:r>
        <w:r>
          <w:t xml:space="preserve"> </w:t>
        </w:r>
        <w:r>
          <w:rPr>
            <w:spacing w:val="4"/>
          </w:rPr>
          <w:t>Factors</w:t>
        </w:r>
        <w:r>
          <w:tab/>
        </w:r>
        <w:r>
          <w:fldChar w:fldCharType="begin"/>
        </w:r>
        <w:r>
          <w:instrText xml:space="preserve">PAGEREF </w:instrText>
        </w:r>
        <w:r>
          <w:instrText>_Toc22 \h</w:instrText>
        </w:r>
        <w:r>
          <w:fldChar w:fldCharType="separate"/>
        </w:r>
        <w:r>
          <w:t>22</w:t>
        </w:r>
        <w:r>
          <w:fldChar w:fldCharType="end"/>
        </w:r>
      </w:hyperlink>
    </w:p>
    <w:p w14:paraId="3930BF4D" w14:textId="77777777" w:rsidR="00B16DFE" w:rsidRDefault="009F0859">
      <w:pPr>
        <w:pStyle w:val="TOC2"/>
        <w:tabs>
          <w:tab w:val="right" w:leader="dot" w:pos="4606"/>
        </w:tabs>
      </w:pPr>
      <w:hyperlink w:anchor="_Toc23">
        <w:r>
          <w:rPr>
            <w:spacing w:val="4"/>
          </w:rPr>
          <w:t xml:space="preserve">Cost Structure </w:t>
        </w:r>
        <w:r>
          <w:t xml:space="preserve"> </w:t>
        </w:r>
        <w:r>
          <w:rPr>
            <w:spacing w:val="4"/>
          </w:rPr>
          <w:t>Benchmarks</w:t>
        </w:r>
        <w:r>
          <w:tab/>
        </w:r>
        <w:r>
          <w:fldChar w:fldCharType="begin"/>
        </w:r>
        <w:r>
          <w:instrText>PAGEREF _Toc23 \h</w:instrText>
        </w:r>
        <w:r>
          <w:fldChar w:fldCharType="separate"/>
        </w:r>
        <w:r>
          <w:t>23</w:t>
        </w:r>
        <w:r>
          <w:fldChar w:fldCharType="end"/>
        </w:r>
      </w:hyperlink>
    </w:p>
    <w:p w14:paraId="1E27C3D1" w14:textId="77777777" w:rsidR="00B16DFE" w:rsidRDefault="009F0859">
      <w:pPr>
        <w:pStyle w:val="TOC2"/>
        <w:tabs>
          <w:tab w:val="right" w:leader="dot" w:pos="4606"/>
        </w:tabs>
      </w:pPr>
      <w:hyperlink w:anchor="_Toc24">
        <w:r>
          <w:rPr>
            <w:spacing w:val="4"/>
          </w:rPr>
          <w:t>Basis of</w:t>
        </w:r>
        <w:r>
          <w:t xml:space="preserve"> </w:t>
        </w:r>
        <w:r>
          <w:rPr>
            <w:spacing w:val="4"/>
          </w:rPr>
          <w:t>Competitio</w:t>
        </w:r>
        <w:r>
          <w:rPr>
            <w:spacing w:val="4"/>
          </w:rPr>
          <w:t>n</w:t>
        </w:r>
        <w:r>
          <w:tab/>
        </w:r>
        <w:r>
          <w:fldChar w:fldCharType="begin"/>
        </w:r>
        <w:r>
          <w:instrText>PAGEREF _Toc24 \h</w:instrText>
        </w:r>
        <w:r>
          <w:fldChar w:fldCharType="separate"/>
        </w:r>
        <w:r>
          <w:t>25</w:t>
        </w:r>
        <w:r>
          <w:fldChar w:fldCharType="end"/>
        </w:r>
      </w:hyperlink>
    </w:p>
    <w:p w14:paraId="768FF068" w14:textId="77777777" w:rsidR="00B16DFE" w:rsidRDefault="009F0859">
      <w:pPr>
        <w:pStyle w:val="TOC2"/>
        <w:tabs>
          <w:tab w:val="right" w:leader="dot" w:pos="4606"/>
        </w:tabs>
      </w:pPr>
      <w:hyperlink w:anchor="_Toc25">
        <w:r>
          <w:rPr>
            <w:spacing w:val="4"/>
          </w:rPr>
          <w:t xml:space="preserve">Barriers to </w:t>
        </w:r>
        <w:r>
          <w:t xml:space="preserve"> </w:t>
        </w:r>
        <w:r>
          <w:rPr>
            <w:spacing w:val="4"/>
          </w:rPr>
          <w:t>Entry</w:t>
        </w:r>
        <w:r>
          <w:tab/>
        </w:r>
        <w:r>
          <w:fldChar w:fldCharType="begin"/>
        </w:r>
        <w:r>
          <w:instrText>PAGEREF _Toc25 \h</w:instrText>
        </w:r>
        <w:r>
          <w:fldChar w:fldCharType="separate"/>
        </w:r>
        <w:r>
          <w:t>26</w:t>
        </w:r>
        <w:r>
          <w:fldChar w:fldCharType="end"/>
        </w:r>
      </w:hyperlink>
    </w:p>
    <w:p w14:paraId="0B06AA90" w14:textId="77777777" w:rsidR="00B16DFE" w:rsidRDefault="009F0859">
      <w:pPr>
        <w:pStyle w:val="TOC2"/>
        <w:tabs>
          <w:tab w:val="right" w:leader="dot" w:pos="4606"/>
        </w:tabs>
      </w:pPr>
      <w:hyperlink w:anchor="_Toc26">
        <w:r>
          <w:rPr>
            <w:spacing w:val="4"/>
          </w:rPr>
          <w:t>Industry Globalization</w:t>
        </w:r>
        <w:r>
          <w:tab/>
        </w:r>
        <w:r>
          <w:fldChar w:fldCharType="begin"/>
        </w:r>
        <w:r>
          <w:instrText>PAGEREF _Toc26 \h</w:instrText>
        </w:r>
        <w:r>
          <w:fldChar w:fldCharType="separate"/>
        </w:r>
        <w:r>
          <w:t>27</w:t>
        </w:r>
        <w:r>
          <w:fldChar w:fldCharType="end"/>
        </w:r>
      </w:hyperlink>
    </w:p>
    <w:p w14:paraId="19CA15A1" w14:textId="77777777" w:rsidR="00B16DFE" w:rsidRDefault="009F0859">
      <w:pPr>
        <w:pStyle w:val="TOC1"/>
        <w:tabs>
          <w:tab w:val="right" w:leader="dot" w:pos="4606"/>
        </w:tabs>
      </w:pPr>
      <w:hyperlink w:anchor="_Toc27">
        <w:r>
          <w:t>Major Companies</w:t>
        </w:r>
        <w:r>
          <w:tab/>
        </w:r>
        <w:r>
          <w:fldChar w:fldCharType="begin"/>
        </w:r>
        <w:r>
          <w:instrText>PAGEREF _Toc27 \h</w:instrText>
        </w:r>
        <w:r>
          <w:fldChar w:fldCharType="separate"/>
        </w:r>
        <w:r>
          <w:t>29</w:t>
        </w:r>
        <w:r>
          <w:fldChar w:fldCharType="end"/>
        </w:r>
      </w:hyperlink>
    </w:p>
    <w:p w14:paraId="78AC879E" w14:textId="77777777" w:rsidR="00B16DFE" w:rsidRDefault="009F0859">
      <w:pPr>
        <w:pStyle w:val="TOC2"/>
        <w:tabs>
          <w:tab w:val="right" w:leader="dot" w:pos="4606"/>
        </w:tabs>
      </w:pPr>
      <w:hyperlink w:anchor="_Toc28">
        <w:r>
          <w:rPr>
            <w:spacing w:val="4"/>
          </w:rPr>
          <w:t>Major Players</w:t>
        </w:r>
        <w:r>
          <w:tab/>
        </w:r>
        <w:r>
          <w:fldChar w:fldCharType="begin"/>
        </w:r>
        <w:r>
          <w:instrText>PAGEREF _Toc28 \h</w:instrText>
        </w:r>
        <w:r>
          <w:fldChar w:fldCharType="separate"/>
        </w:r>
        <w:r>
          <w:t>29</w:t>
        </w:r>
        <w:r>
          <w:fldChar w:fldCharType="end"/>
        </w:r>
      </w:hyperlink>
    </w:p>
    <w:p w14:paraId="0DDBB934" w14:textId="640D215C" w:rsidR="00B16DFE" w:rsidRDefault="009F0859">
      <w:pPr>
        <w:pStyle w:val="TOC2"/>
        <w:tabs>
          <w:tab w:val="right" w:leader="dot" w:pos="4606"/>
        </w:tabs>
      </w:pPr>
      <w:hyperlink w:anchor="_Toc29">
        <w:r w:rsidRPr="002E0CCC">
          <w:rPr>
            <w:spacing w:val="4"/>
            <w:highlight w:val="yellow"/>
          </w:rPr>
          <w:t>Other Companies</w:t>
        </w:r>
        <w:r w:rsidRPr="002E0CCC">
          <w:rPr>
            <w:highlight w:val="yellow"/>
          </w:rPr>
          <w:tab/>
        </w:r>
        <w:r w:rsidRPr="002E0CCC">
          <w:rPr>
            <w:highlight w:val="yellow"/>
          </w:rPr>
          <w:fldChar w:fldCharType="begin"/>
        </w:r>
        <w:r w:rsidRPr="002E0CCC">
          <w:rPr>
            <w:highlight w:val="yellow"/>
          </w:rPr>
          <w:instrText>PAGEREF _Toc29 \h</w:instrText>
        </w:r>
        <w:r w:rsidRPr="002E0CCC">
          <w:rPr>
            <w:highlight w:val="yellow"/>
          </w:rPr>
        </w:r>
        <w:r w:rsidRPr="002E0CCC">
          <w:rPr>
            <w:highlight w:val="yellow"/>
          </w:rPr>
          <w:fldChar w:fldCharType="separate"/>
        </w:r>
        <w:r w:rsidRPr="002E0CCC">
          <w:rPr>
            <w:highlight w:val="yellow"/>
          </w:rPr>
          <w:t>3</w:t>
        </w:r>
        <w:r w:rsidR="002E0CCC">
          <w:rPr>
            <w:highlight w:val="yellow"/>
          </w:rPr>
          <w:t>2</w:t>
        </w:r>
        <w:r w:rsidRPr="002E0CCC">
          <w:rPr>
            <w:highlight w:val="yellow"/>
          </w:rPr>
          <w:fldChar w:fldCharType="end"/>
        </w:r>
      </w:hyperlink>
    </w:p>
    <w:p w14:paraId="415CBCA8" w14:textId="77777777" w:rsidR="00B16DFE" w:rsidRDefault="009F0859">
      <w:pPr>
        <w:pStyle w:val="TOC1"/>
        <w:tabs>
          <w:tab w:val="right" w:leader="dot" w:pos="4606"/>
        </w:tabs>
      </w:pPr>
      <w:hyperlink w:anchor="_Toc30">
        <w:r>
          <w:t>Operating Conditions</w:t>
        </w:r>
        <w:r>
          <w:tab/>
        </w:r>
        <w:r>
          <w:fldChar w:fldCharType="begin"/>
        </w:r>
        <w:r>
          <w:instrText>PAGEREF _Toc30 \h</w:instrText>
        </w:r>
        <w:r>
          <w:fldChar w:fldCharType="separate"/>
        </w:r>
        <w:r>
          <w:t>33</w:t>
        </w:r>
        <w:r>
          <w:fldChar w:fldCharType="end"/>
        </w:r>
      </w:hyperlink>
    </w:p>
    <w:p w14:paraId="1DBE5EC9" w14:textId="77777777" w:rsidR="00B16DFE" w:rsidRDefault="009F0859">
      <w:pPr>
        <w:pStyle w:val="TOC2"/>
        <w:tabs>
          <w:tab w:val="right" w:leader="dot" w:pos="4606"/>
        </w:tabs>
      </w:pPr>
      <w:hyperlink w:anchor="_Toc31">
        <w:r>
          <w:rPr>
            <w:spacing w:val="4"/>
          </w:rPr>
          <w:t>Capital Intensity</w:t>
        </w:r>
        <w:r>
          <w:tab/>
        </w:r>
        <w:r>
          <w:fldChar w:fldCharType="begin"/>
        </w:r>
        <w:r>
          <w:instrText>PAGEREF _Toc31 \h</w:instrText>
        </w:r>
        <w:r>
          <w:fldChar w:fldCharType="separate"/>
        </w:r>
        <w:r>
          <w:t>33</w:t>
        </w:r>
        <w:r>
          <w:fldChar w:fldCharType="end"/>
        </w:r>
      </w:hyperlink>
    </w:p>
    <w:p w14:paraId="2B47121F" w14:textId="77777777" w:rsidR="00B16DFE" w:rsidRDefault="009F0859">
      <w:pPr>
        <w:pStyle w:val="TOC2"/>
        <w:tabs>
          <w:tab w:val="right" w:leader="dot" w:pos="4606"/>
        </w:tabs>
      </w:pPr>
      <w:hyperlink w:anchor="_Toc32">
        <w:r>
          <w:rPr>
            <w:spacing w:val="4"/>
          </w:rPr>
          <w:t>Technology &amp; Systems</w:t>
        </w:r>
        <w:r>
          <w:tab/>
        </w:r>
        <w:r>
          <w:fldChar w:fldCharType="begin"/>
        </w:r>
        <w:r>
          <w:instrText>PAGEREF _Toc32 \h</w:instrText>
        </w:r>
        <w:r>
          <w:fldChar w:fldCharType="separate"/>
        </w:r>
        <w:r>
          <w:t>34</w:t>
        </w:r>
        <w:r>
          <w:fldChar w:fldCharType="end"/>
        </w:r>
      </w:hyperlink>
    </w:p>
    <w:p w14:paraId="608F0594" w14:textId="77777777" w:rsidR="00B16DFE" w:rsidRDefault="009F0859">
      <w:pPr>
        <w:pStyle w:val="TOC2"/>
        <w:tabs>
          <w:tab w:val="right" w:leader="dot" w:pos="4606"/>
        </w:tabs>
      </w:pPr>
      <w:hyperlink w:anchor="_Toc33">
        <w:r>
          <w:rPr>
            <w:spacing w:val="4"/>
          </w:rPr>
          <w:t>Revenue Volatility</w:t>
        </w:r>
        <w:r>
          <w:tab/>
        </w:r>
        <w:r>
          <w:fldChar w:fldCharType="begin"/>
        </w:r>
        <w:r>
          <w:instrText>PAGEREF _Toc33 \h</w:instrText>
        </w:r>
        <w:r>
          <w:fldChar w:fldCharType="separate"/>
        </w:r>
        <w:r>
          <w:t>35</w:t>
        </w:r>
        <w:r>
          <w:fldChar w:fldCharType="end"/>
        </w:r>
      </w:hyperlink>
    </w:p>
    <w:p w14:paraId="69D5E231" w14:textId="77777777" w:rsidR="00B16DFE" w:rsidRDefault="009F0859">
      <w:pPr>
        <w:pStyle w:val="TOC2"/>
        <w:tabs>
          <w:tab w:val="right" w:leader="dot" w:pos="4606"/>
        </w:tabs>
      </w:pPr>
      <w:hyperlink w:anchor="_Toc34">
        <w:r>
          <w:rPr>
            <w:spacing w:val="4"/>
          </w:rPr>
          <w:t>Regulation &amp; Policy</w:t>
        </w:r>
        <w:r>
          <w:tab/>
        </w:r>
        <w:r>
          <w:fldChar w:fldCharType="begin"/>
        </w:r>
        <w:r>
          <w:instrText>PAGEREF _Toc34 \h</w:instrText>
        </w:r>
        <w:r>
          <w:fldChar w:fldCharType="separate"/>
        </w:r>
        <w:r>
          <w:t>36</w:t>
        </w:r>
        <w:r>
          <w:fldChar w:fldCharType="end"/>
        </w:r>
      </w:hyperlink>
    </w:p>
    <w:p w14:paraId="4D53736D" w14:textId="77777777" w:rsidR="00B16DFE" w:rsidRDefault="009F0859">
      <w:pPr>
        <w:pStyle w:val="TOC2"/>
        <w:tabs>
          <w:tab w:val="right" w:leader="dot" w:pos="4606"/>
        </w:tabs>
      </w:pPr>
      <w:hyperlink w:anchor="_Toc35">
        <w:r>
          <w:rPr>
            <w:spacing w:val="4"/>
          </w:rPr>
          <w:t>Industry Assistance</w:t>
        </w:r>
        <w:r>
          <w:tab/>
        </w:r>
        <w:r>
          <w:fldChar w:fldCharType="begin"/>
        </w:r>
        <w:r>
          <w:instrText>PAGEREF _Toc35 \h</w:instrText>
        </w:r>
        <w:r>
          <w:fldChar w:fldCharType="separate"/>
        </w:r>
        <w:r>
          <w:t>36</w:t>
        </w:r>
        <w:r>
          <w:fldChar w:fldCharType="end"/>
        </w:r>
      </w:hyperlink>
    </w:p>
    <w:p w14:paraId="157FFF95" w14:textId="77777777" w:rsidR="00B16DFE" w:rsidRDefault="009F0859">
      <w:pPr>
        <w:pStyle w:val="TOC1"/>
        <w:tabs>
          <w:tab w:val="right" w:leader="dot" w:pos="4606"/>
        </w:tabs>
      </w:pPr>
      <w:hyperlink w:anchor="_Toc36">
        <w:r>
          <w:t>Key Statistics</w:t>
        </w:r>
        <w:r>
          <w:tab/>
        </w:r>
        <w:r>
          <w:fldChar w:fldCharType="begin"/>
        </w:r>
        <w:r>
          <w:instrText>PAGEREF _Toc36 \h</w:instrText>
        </w:r>
        <w:r>
          <w:fldChar w:fldCharType="separate"/>
        </w:r>
        <w:r>
          <w:t>38</w:t>
        </w:r>
        <w:r>
          <w:fldChar w:fldCharType="end"/>
        </w:r>
      </w:hyperlink>
    </w:p>
    <w:p w14:paraId="6A7CA894" w14:textId="77777777" w:rsidR="00B16DFE" w:rsidRDefault="009F0859">
      <w:pPr>
        <w:pStyle w:val="TOC2"/>
        <w:tabs>
          <w:tab w:val="right" w:leader="dot" w:pos="4606"/>
        </w:tabs>
      </w:pPr>
      <w:hyperlink w:anchor="_Toc37">
        <w:r>
          <w:rPr>
            <w:spacing w:val="4"/>
          </w:rPr>
          <w:t>Industry Data</w:t>
        </w:r>
        <w:r>
          <w:tab/>
        </w:r>
        <w:r>
          <w:fldChar w:fldCharType="begin"/>
        </w:r>
        <w:r>
          <w:instrText>PAGEREF _Toc37 \h</w:instrText>
        </w:r>
        <w:r>
          <w:fldChar w:fldCharType="separate"/>
        </w:r>
        <w:r>
          <w:t>38</w:t>
        </w:r>
        <w:r>
          <w:fldChar w:fldCharType="end"/>
        </w:r>
      </w:hyperlink>
    </w:p>
    <w:p w14:paraId="4B5C3179" w14:textId="77777777" w:rsidR="00B16DFE" w:rsidRDefault="009F0859">
      <w:pPr>
        <w:pStyle w:val="TOC2"/>
        <w:tabs>
          <w:tab w:val="right" w:leader="dot" w:pos="4606"/>
        </w:tabs>
      </w:pPr>
      <w:hyperlink w:anchor="_Toc38">
        <w:r>
          <w:rPr>
            <w:spacing w:val="4"/>
          </w:rPr>
          <w:t>Annual Change</w:t>
        </w:r>
        <w:r>
          <w:tab/>
        </w:r>
        <w:r>
          <w:fldChar w:fldCharType="begin"/>
        </w:r>
        <w:r>
          <w:instrText>PAGEREF _Toc38 \h</w:instrText>
        </w:r>
        <w:r>
          <w:fldChar w:fldCharType="separate"/>
        </w:r>
        <w:r>
          <w:t>38</w:t>
        </w:r>
        <w:r>
          <w:fldChar w:fldCharType="end"/>
        </w:r>
      </w:hyperlink>
    </w:p>
    <w:p w14:paraId="2AE2C487" w14:textId="77777777" w:rsidR="00B16DFE" w:rsidRDefault="009F0859">
      <w:pPr>
        <w:pStyle w:val="TOC2"/>
        <w:tabs>
          <w:tab w:val="right" w:leader="dot" w:pos="4606"/>
        </w:tabs>
      </w:pPr>
      <w:hyperlink w:anchor="_Toc39">
        <w:r>
          <w:rPr>
            <w:spacing w:val="4"/>
          </w:rPr>
          <w:t>Key Ratios</w:t>
        </w:r>
        <w:r>
          <w:tab/>
        </w:r>
        <w:r>
          <w:fldChar w:fldCharType="begin"/>
        </w:r>
        <w:r>
          <w:instrText>PAGEREF _Toc39 \h</w:instrText>
        </w:r>
        <w:r>
          <w:fldChar w:fldCharType="separate"/>
        </w:r>
        <w:r>
          <w:t>38</w:t>
        </w:r>
        <w:r>
          <w:fldChar w:fldCharType="end"/>
        </w:r>
      </w:hyperlink>
    </w:p>
    <w:p w14:paraId="589A3327" w14:textId="77777777" w:rsidR="00B16DFE" w:rsidRDefault="009F0859">
      <w:pPr>
        <w:pStyle w:val="TOC1"/>
        <w:tabs>
          <w:tab w:val="right" w:leader="dot" w:pos="4606"/>
        </w:tabs>
      </w:pPr>
      <w:hyperlink w:anchor="_Toc40">
        <w:r>
          <w:t>Additional Resources</w:t>
        </w:r>
        <w:r>
          <w:tab/>
        </w:r>
        <w:r>
          <w:fldChar w:fldCharType="begin"/>
        </w:r>
        <w:r>
          <w:instrText>PAGEREF _Toc40 \h</w:instrText>
        </w:r>
        <w:r>
          <w:fldChar w:fldCharType="separate"/>
        </w:r>
        <w:r>
          <w:t>39</w:t>
        </w:r>
        <w:r>
          <w:fldChar w:fldCharType="end"/>
        </w:r>
      </w:hyperlink>
    </w:p>
    <w:p w14:paraId="2EA93D47" w14:textId="77777777" w:rsidR="00B16DFE" w:rsidRDefault="009F0859">
      <w:pPr>
        <w:pStyle w:val="TOC2"/>
        <w:tabs>
          <w:tab w:val="right" w:leader="dot" w:pos="4606"/>
        </w:tabs>
      </w:pPr>
      <w:hyperlink w:anchor="_Toc41">
        <w:r>
          <w:rPr>
            <w:spacing w:val="4"/>
          </w:rPr>
          <w:t>Additional Resources</w:t>
        </w:r>
        <w:r>
          <w:tab/>
        </w:r>
        <w:r>
          <w:fldChar w:fldCharType="begin"/>
        </w:r>
        <w:r>
          <w:instrText>PAGEREF _Toc41 \h</w:instrText>
        </w:r>
        <w:r>
          <w:fldChar w:fldCharType="separate"/>
        </w:r>
        <w:r>
          <w:t>39</w:t>
        </w:r>
        <w:r>
          <w:fldChar w:fldCharType="end"/>
        </w:r>
      </w:hyperlink>
    </w:p>
    <w:p w14:paraId="2DA0AC07" w14:textId="77777777" w:rsidR="00B16DFE" w:rsidRDefault="009F0859">
      <w:pPr>
        <w:pStyle w:val="TOC2"/>
        <w:tabs>
          <w:tab w:val="right" w:leader="dot" w:pos="4606"/>
        </w:tabs>
      </w:pPr>
      <w:hyperlink w:anchor="_Toc42">
        <w:r>
          <w:rPr>
            <w:spacing w:val="4"/>
          </w:rPr>
          <w:t>Industry Jargon</w:t>
        </w:r>
        <w:r>
          <w:tab/>
        </w:r>
        <w:r>
          <w:fldChar w:fldCharType="begin"/>
        </w:r>
        <w:r>
          <w:instrText>PAGEREF _Toc42 \h</w:instrText>
        </w:r>
        <w:r>
          <w:fldChar w:fldCharType="separate"/>
        </w:r>
        <w:r>
          <w:t>39</w:t>
        </w:r>
        <w:r>
          <w:fldChar w:fldCharType="end"/>
        </w:r>
      </w:hyperlink>
    </w:p>
    <w:p w14:paraId="07F45D37" w14:textId="77777777" w:rsidR="00B16DFE" w:rsidRDefault="009F0859">
      <w:pPr>
        <w:pStyle w:val="TOC2"/>
        <w:tabs>
          <w:tab w:val="right" w:leader="dot" w:pos="4606"/>
        </w:tabs>
      </w:pPr>
      <w:hyperlink w:anchor="_Toc43">
        <w:r>
          <w:rPr>
            <w:spacing w:val="4"/>
          </w:rPr>
          <w:t>Glossary</w:t>
        </w:r>
        <w:r>
          <w:tab/>
        </w:r>
        <w:r>
          <w:fldChar w:fldCharType="begin"/>
        </w:r>
        <w:r>
          <w:instrText>PAGEREF _Toc43 \h</w:instrText>
        </w:r>
        <w:r>
          <w:fldChar w:fldCharType="separate"/>
        </w:r>
        <w:r>
          <w:t>39</w:t>
        </w:r>
        <w:r>
          <w:fldChar w:fldCharType="end"/>
        </w:r>
      </w:hyperlink>
    </w:p>
    <w:p w14:paraId="44A8C432" w14:textId="77777777" w:rsidR="00B16DFE" w:rsidRDefault="009F0859">
      <w:pPr>
        <w:sectPr w:rsidR="00B16DFE">
          <w:headerReference w:type="default" r:id="rId14"/>
          <w:footerReference w:type="default" r:id="rId15"/>
          <w:type w:val="continuous"/>
          <w:pgSz w:w="11907" w:h="16839" w:code="9"/>
          <w:pgMar w:top="800" w:right="640" w:bottom="1417" w:left="640" w:header="0" w:footer="0" w:gutter="0"/>
          <w:cols w:num="2" w:space="708"/>
          <w:docGrid w:linePitch="360"/>
        </w:sectPr>
      </w:pPr>
      <w:r>
        <w:fldChar w:fldCharType="end"/>
      </w:r>
      <w:r>
        <w:br w:type="page"/>
      </w:r>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131EE1C1" w14:textId="77777777">
        <w:tc>
          <w:tcPr>
            <w:tcW w:w="1000" w:type="pct"/>
          </w:tcPr>
          <w:p w14:paraId="197B9B5E" w14:textId="77777777" w:rsidR="00B16DFE" w:rsidRDefault="009F0859">
            <w:pPr>
              <w:pStyle w:val="Heading2"/>
              <w:spacing w:before="0" w:line="270" w:lineRule="atLeast"/>
              <w:rPr>
                <w:rFonts w:ascii="Arial" w:eastAsia="Arial" w:hAnsi="Arial" w:cs="Arial"/>
                <w:color w:val="333333"/>
                <w:spacing w:val="4"/>
                <w:sz w:val="21"/>
                <w:szCs w:val="21"/>
              </w:rPr>
            </w:pPr>
            <w:bookmarkStart w:id="0" w:name="_Toc1"/>
            <w:r>
              <w:rPr>
                <w:rFonts w:ascii="Arial" w:eastAsia="Arial" w:hAnsi="Arial" w:cs="Arial"/>
                <w:color w:val="333333"/>
                <w:spacing w:val="4"/>
                <w:sz w:val="21"/>
                <w:szCs w:val="21"/>
              </w:rPr>
              <w:lastRenderedPageBreak/>
              <w:t>COVID-19 (Coronavirus)</w:t>
            </w:r>
            <w:r>
              <w:br/>
            </w:r>
            <w:r>
              <w:rPr>
                <w:rFonts w:ascii="Arial" w:eastAsia="Arial" w:hAnsi="Arial" w:cs="Arial"/>
                <w:color w:val="333333"/>
                <w:spacing w:val="4"/>
                <w:sz w:val="21"/>
                <w:szCs w:val="21"/>
              </w:rPr>
              <w:t>Impact Update</w:t>
            </w:r>
            <w:bookmarkEnd w:id="0"/>
          </w:p>
        </w:tc>
        <w:tc>
          <w:tcPr>
            <w:tcW w:w="4000" w:type="pct"/>
          </w:tcPr>
          <w:p w14:paraId="36041986"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IBISWorld's analysts constantly monitor the industry impacts of current events in real-time – here is an update of how this i</w:t>
            </w:r>
            <w:r>
              <w:rPr>
                <w:rFonts w:ascii="Arial" w:eastAsia="Arial" w:hAnsi="Arial" w:cs="Arial"/>
                <w:sz w:val="16"/>
                <w:szCs w:val="16"/>
              </w:rPr>
              <w:t>ndustry is likely to be impacted as a result of the global COVID-19 pandemic:</w:t>
            </w:r>
          </w:p>
          <w:p w14:paraId="5654023E"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 xml:space="preserve">• Revenue for the Travel Agencies industry is anticipated to decline over 2020-21 due to falling demand amid global travel restrictions. For more detail, please see the </w:t>
            </w:r>
            <w:r>
              <w:rPr>
                <w:rFonts w:ascii="Arial" w:eastAsia="Arial" w:hAnsi="Arial" w:cs="Arial"/>
                <w:sz w:val="16"/>
                <w:szCs w:val="16"/>
              </w:rPr>
              <w:t>Current Performance chapter.</w:t>
            </w:r>
          </w:p>
          <w:p w14:paraId="6FE6F92F"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 The coronavirus outbreak is expected to continue to take its toll on industry operators in the short run as some countries remain off the government's travel corridors list, requiring a 14-day quarantine period on arrival bac</w:t>
            </w:r>
            <w:r>
              <w:rPr>
                <w:rFonts w:ascii="Arial" w:eastAsia="Arial" w:hAnsi="Arial" w:cs="Arial"/>
                <w:sz w:val="16"/>
                <w:szCs w:val="16"/>
              </w:rPr>
              <w:t>k in the United Kingdom. For more detail, please see the Industry Outlook chapter.</w:t>
            </w:r>
          </w:p>
          <w:p w14:paraId="0AF27929"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 Travel agents often purchase tours, flights and hotel rooms in bulk to be able to be sold on to customers at a slightly discounted price. Lower demand and cancelled itiner</w:t>
            </w:r>
            <w:r>
              <w:rPr>
                <w:rFonts w:ascii="Arial" w:eastAsia="Arial" w:hAnsi="Arial" w:cs="Arial"/>
                <w:sz w:val="16"/>
                <w:szCs w:val="16"/>
              </w:rPr>
              <w:t>aries are likely to weigh on profit over the next five-year period as firms attempt to sell tickets at discounted prices. For more detail, please see the Cost Structure Benchmarks chapter.</w:t>
            </w:r>
          </w:p>
        </w:tc>
      </w:tr>
    </w:tbl>
    <w:p w14:paraId="22C76402" w14:textId="77777777" w:rsidR="00B16DFE" w:rsidRDefault="00B16DFE">
      <w:pPr>
        <w:sectPr w:rsidR="00B16DFE">
          <w:headerReference w:type="default" r:id="rId16"/>
          <w:footerReference w:type="default" r:id="rId17"/>
          <w:pgSz w:w="11907" w:h="16839" w:code="9"/>
          <w:pgMar w:top="800" w:right="640" w:bottom="1417" w:left="640" w:header="0" w:footer="0" w:gutter="0"/>
          <w:cols w:space="708"/>
          <w:docGrid w:linePitch="360"/>
        </w:sectPr>
      </w:pPr>
    </w:p>
    <w:p w14:paraId="565471B9" w14:textId="77777777" w:rsidR="00B16DFE" w:rsidRDefault="009F0859">
      <w:pPr>
        <w:pStyle w:val="Heading3"/>
        <w:spacing w:before="0" w:after="210" w:line="390" w:lineRule="atLeast"/>
        <w:rPr>
          <w:rFonts w:ascii="Arial" w:eastAsia="Arial" w:hAnsi="Arial" w:cs="Arial"/>
          <w:b w:val="0"/>
          <w:bCs w:val="0"/>
          <w:color w:val="333333"/>
          <w:sz w:val="36"/>
          <w:szCs w:val="36"/>
        </w:rPr>
      </w:pPr>
      <w:r>
        <w:rPr>
          <w:rFonts w:ascii="Arial" w:eastAsia="Arial" w:hAnsi="Arial" w:cs="Arial"/>
          <w:b w:val="0"/>
          <w:bCs w:val="0"/>
          <w:color w:val="333333"/>
          <w:sz w:val="36"/>
          <w:szCs w:val="36"/>
        </w:rPr>
        <w:lastRenderedPageBreak/>
        <w:t>About IBISWorld</w:t>
      </w:r>
    </w:p>
    <w:p w14:paraId="009BAD9D" w14:textId="77777777" w:rsidR="00B16DFE" w:rsidRDefault="009F0859">
      <w:pPr>
        <w:spacing w:before="165" w:after="165" w:line="225" w:lineRule="atLeast"/>
        <w:rPr>
          <w:rFonts w:ascii="Arial" w:eastAsia="Arial" w:hAnsi="Arial" w:cs="Arial"/>
          <w:sz w:val="16"/>
          <w:szCs w:val="16"/>
        </w:rPr>
      </w:pPr>
      <w:r>
        <w:rPr>
          <w:rFonts w:ascii="Arial" w:eastAsia="Arial" w:hAnsi="Arial" w:cs="Arial"/>
          <w:sz w:val="16"/>
          <w:szCs w:val="16"/>
        </w:rPr>
        <w:t xml:space="preserve">IBISWorld specializes in industry research with coverage on thousands of global industries. Our comprehensive data and in-depth analysis help businesses of all types gain quick and actionable insights </w:t>
      </w:r>
      <w:r>
        <w:rPr>
          <w:rFonts w:ascii="Arial" w:eastAsia="Arial" w:hAnsi="Arial" w:cs="Arial"/>
          <w:sz w:val="16"/>
          <w:szCs w:val="16"/>
        </w:rPr>
        <w:t xml:space="preserve">on industries around the world. Busy professionals can spend less time researching and preparing for meetings, and more time focused on making strategic business decisions that benefit you, your company and your clients. We offer research on industries in </w:t>
      </w:r>
      <w:r>
        <w:rPr>
          <w:rFonts w:ascii="Arial" w:eastAsia="Arial" w:hAnsi="Arial" w:cs="Arial"/>
          <w:sz w:val="16"/>
          <w:szCs w:val="16"/>
        </w:rPr>
        <w:t>the US, Canada, Australia, New Zealand, Germany, the UK, Ireland, China and Mexico, as well as industries that are truly global in nature.</w:t>
      </w:r>
    </w:p>
    <w:p w14:paraId="6F60069F" w14:textId="77777777" w:rsidR="00B16DFE" w:rsidRDefault="00B16DFE">
      <w:pPr>
        <w:sectPr w:rsidR="00B16DFE">
          <w:headerReference w:type="default" r:id="rId18"/>
          <w:footerReference w:type="default" r:id="rId19"/>
          <w:pgSz w:w="11907" w:h="16839" w:code="9"/>
          <w:pgMar w:top="800" w:right="640" w:bottom="1417" w:left="640" w:header="0" w:footer="0" w:gutter="0"/>
          <w:cols w:space="708"/>
          <w:docGrid w:linePitch="360"/>
        </w:sectPr>
      </w:pPr>
    </w:p>
    <w:p w14:paraId="51EAF082" w14:textId="77777777" w:rsidR="00B16DFE" w:rsidRDefault="009F0859">
      <w:pPr>
        <w:pStyle w:val="Heading1"/>
        <w:spacing w:before="0" w:after="240" w:line="420" w:lineRule="atLeast"/>
        <w:rPr>
          <w:rFonts w:ascii="Arial" w:eastAsia="Arial" w:hAnsi="Arial" w:cs="Arial"/>
          <w:b w:val="0"/>
          <w:bCs w:val="0"/>
          <w:color w:val="333333"/>
          <w:sz w:val="36"/>
          <w:szCs w:val="36"/>
        </w:rPr>
      </w:pPr>
      <w:bookmarkStart w:id="1" w:name="_Toc2"/>
      <w:r>
        <w:rPr>
          <w:rFonts w:ascii="Arial" w:eastAsia="Arial" w:hAnsi="Arial" w:cs="Arial"/>
          <w:b w:val="0"/>
          <w:bCs w:val="0"/>
          <w:color w:val="333333"/>
          <w:sz w:val="36"/>
          <w:szCs w:val="36"/>
        </w:rPr>
        <w:lastRenderedPageBreak/>
        <w:t xml:space="preserve">About </w:t>
      </w:r>
      <w:r>
        <w:rPr>
          <w:rFonts w:ascii="Arial" w:eastAsia="Arial" w:hAnsi="Arial" w:cs="Arial"/>
          <w:b w:val="0"/>
          <w:bCs w:val="0"/>
          <w:color w:val="333333"/>
          <w:sz w:val="36"/>
          <w:szCs w:val="36"/>
        </w:rPr>
        <w:t>This Industry</w:t>
      </w:r>
      <w:bookmarkEnd w:id="1"/>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11C8F158" w14:textId="77777777">
        <w:tc>
          <w:tcPr>
            <w:tcW w:w="1000" w:type="pct"/>
          </w:tcPr>
          <w:p w14:paraId="3D197C13" w14:textId="77777777" w:rsidR="00B16DFE" w:rsidRDefault="009F0859">
            <w:pPr>
              <w:pStyle w:val="Heading2"/>
              <w:spacing w:before="0" w:line="270" w:lineRule="atLeast"/>
              <w:rPr>
                <w:rFonts w:ascii="Arial" w:eastAsia="Arial" w:hAnsi="Arial" w:cs="Arial"/>
                <w:color w:val="333333"/>
                <w:spacing w:val="4"/>
                <w:sz w:val="21"/>
                <w:szCs w:val="21"/>
              </w:rPr>
            </w:pPr>
            <w:bookmarkStart w:id="2" w:name="_Toc3"/>
            <w:r>
              <w:rPr>
                <w:rFonts w:ascii="Arial" w:eastAsia="Arial" w:hAnsi="Arial" w:cs="Arial"/>
                <w:color w:val="333333"/>
                <w:spacing w:val="4"/>
                <w:sz w:val="21"/>
                <w:szCs w:val="21"/>
              </w:rPr>
              <w:t>Industry Definition</w:t>
            </w:r>
            <w:bookmarkEnd w:id="2"/>
          </w:p>
        </w:tc>
        <w:tc>
          <w:tcPr>
            <w:tcW w:w="4000" w:type="pct"/>
          </w:tcPr>
          <w:p w14:paraId="15B9BE5F"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 xml:space="preserve">This industry is composed of agencies that provide booking, reservation and information services to UK residents travelling domestically and internationally. This includes agencies that are solely or partially online or </w:t>
            </w:r>
            <w:r>
              <w:rPr>
                <w:rFonts w:ascii="Arial" w:eastAsia="Arial" w:hAnsi="Arial" w:cs="Arial"/>
                <w:sz w:val="16"/>
                <w:szCs w:val="16"/>
              </w:rPr>
              <w:t>shop-front operators. Operators generate their income from commissions.</w:t>
            </w:r>
          </w:p>
        </w:tc>
      </w:tr>
      <w:tr w:rsidR="00B16DFE" w14:paraId="6DEED44B" w14:textId="77777777">
        <w:tc>
          <w:tcPr>
            <w:tcW w:w="4000" w:type="pct"/>
            <w:gridSpan w:val="2"/>
          </w:tcPr>
          <w:p w14:paraId="64DF8499" w14:textId="77777777" w:rsidR="00B16DFE" w:rsidRDefault="00B16DFE">
            <w:pPr>
              <w:keepNext/>
              <w:keepLines/>
              <w:spacing w:after="0" w:line="225" w:lineRule="atLeast"/>
              <w:rPr>
                <w:rFonts w:ascii="Arial" w:eastAsia="Arial" w:hAnsi="Arial" w:cs="Arial"/>
                <w:sz w:val="16"/>
                <w:szCs w:val="16"/>
              </w:rPr>
            </w:pPr>
          </w:p>
        </w:tc>
      </w:tr>
      <w:tr w:rsidR="00B16DFE" w14:paraId="4F4507D8" w14:textId="77777777">
        <w:tc>
          <w:tcPr>
            <w:tcW w:w="1000" w:type="pct"/>
          </w:tcPr>
          <w:p w14:paraId="7E5344F7" w14:textId="77777777" w:rsidR="00B16DFE" w:rsidRDefault="009F0859">
            <w:pPr>
              <w:pStyle w:val="Heading2"/>
              <w:spacing w:before="0" w:line="270" w:lineRule="atLeast"/>
              <w:rPr>
                <w:rFonts w:ascii="Arial" w:eastAsia="Arial" w:hAnsi="Arial" w:cs="Arial"/>
                <w:color w:val="333333"/>
                <w:spacing w:val="4"/>
                <w:sz w:val="21"/>
                <w:szCs w:val="21"/>
              </w:rPr>
            </w:pPr>
            <w:bookmarkStart w:id="3" w:name="_Toc4"/>
            <w:r>
              <w:rPr>
                <w:rFonts w:ascii="Arial" w:eastAsia="Arial" w:hAnsi="Arial" w:cs="Arial"/>
                <w:color w:val="333333"/>
                <w:spacing w:val="4"/>
                <w:sz w:val="21"/>
                <w:szCs w:val="21"/>
              </w:rPr>
              <w:t>Major Players</w:t>
            </w:r>
            <w:bookmarkEnd w:id="3"/>
          </w:p>
        </w:tc>
        <w:tc>
          <w:tcPr>
            <w:tcW w:w="4000" w:type="pct"/>
          </w:tcPr>
          <w:p w14:paraId="5B89C485" w14:textId="77777777" w:rsidR="00B16DFE" w:rsidRDefault="009F0859">
            <w:pPr>
              <w:keepNext/>
              <w:keepLines/>
              <w:numPr>
                <w:ilvl w:val="0"/>
                <w:numId w:val="1"/>
              </w:numPr>
              <w:spacing w:after="240" w:line="225" w:lineRule="atLeast"/>
              <w:ind w:left="0" w:hanging="240"/>
              <w:rPr>
                <w:rFonts w:ascii="Arial" w:eastAsia="Arial" w:hAnsi="Arial" w:cs="Arial"/>
                <w:sz w:val="16"/>
                <w:szCs w:val="16"/>
              </w:rPr>
            </w:pPr>
            <w:r>
              <w:rPr>
                <w:rFonts w:ascii="Arial" w:eastAsia="Arial" w:hAnsi="Arial" w:cs="Arial"/>
                <w:sz w:val="16"/>
                <w:szCs w:val="16"/>
              </w:rPr>
              <w:t>TUI Travel Ltd</w:t>
            </w:r>
          </w:p>
        </w:tc>
      </w:tr>
      <w:tr w:rsidR="00B16DFE" w14:paraId="1DE8973A" w14:textId="77777777">
        <w:tc>
          <w:tcPr>
            <w:tcW w:w="4000" w:type="pct"/>
            <w:gridSpan w:val="2"/>
          </w:tcPr>
          <w:p w14:paraId="264AC808" w14:textId="77777777" w:rsidR="00B16DFE" w:rsidRDefault="00B16DFE">
            <w:pPr>
              <w:keepNext/>
              <w:keepLines/>
              <w:spacing w:after="0" w:line="225" w:lineRule="atLeast"/>
              <w:rPr>
                <w:rFonts w:ascii="Arial" w:eastAsia="Arial" w:hAnsi="Arial" w:cs="Arial"/>
                <w:sz w:val="16"/>
                <w:szCs w:val="16"/>
              </w:rPr>
            </w:pPr>
          </w:p>
        </w:tc>
      </w:tr>
      <w:tr w:rsidR="00B16DFE" w14:paraId="49741BAC" w14:textId="77777777">
        <w:tc>
          <w:tcPr>
            <w:tcW w:w="1000" w:type="pct"/>
          </w:tcPr>
          <w:p w14:paraId="7EFE4802" w14:textId="77777777" w:rsidR="00B16DFE" w:rsidRDefault="009F0859">
            <w:pPr>
              <w:pStyle w:val="Heading2"/>
              <w:spacing w:before="0" w:line="270" w:lineRule="atLeast"/>
              <w:rPr>
                <w:rFonts w:ascii="Arial" w:eastAsia="Arial" w:hAnsi="Arial" w:cs="Arial"/>
                <w:color w:val="333333"/>
                <w:spacing w:val="4"/>
                <w:sz w:val="21"/>
                <w:szCs w:val="21"/>
              </w:rPr>
            </w:pPr>
            <w:bookmarkStart w:id="4" w:name="_Toc5"/>
            <w:r>
              <w:rPr>
                <w:rFonts w:ascii="Arial" w:eastAsia="Arial" w:hAnsi="Arial" w:cs="Arial"/>
                <w:color w:val="333333"/>
                <w:spacing w:val="4"/>
                <w:sz w:val="21"/>
                <w:szCs w:val="21"/>
              </w:rPr>
              <w:t>Main Activities</w:t>
            </w:r>
            <w:bookmarkEnd w:id="4"/>
          </w:p>
        </w:tc>
        <w:tc>
          <w:tcPr>
            <w:tcW w:w="4000" w:type="pct"/>
          </w:tcPr>
          <w:p w14:paraId="7C1D80EA"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The primary activities of this industry are:</w:t>
            </w:r>
          </w:p>
          <w:p w14:paraId="12E78B85" w14:textId="77777777" w:rsidR="00B16DFE" w:rsidRDefault="009F0859">
            <w:pPr>
              <w:keepNext/>
              <w:keepLines/>
              <w:numPr>
                <w:ilvl w:val="0"/>
                <w:numId w:val="2"/>
              </w:numPr>
              <w:spacing w:after="120" w:line="225" w:lineRule="atLeast"/>
              <w:ind w:left="0" w:hanging="240"/>
              <w:rPr>
                <w:rFonts w:ascii="Arial" w:eastAsia="Arial" w:hAnsi="Arial" w:cs="Arial"/>
                <w:sz w:val="16"/>
                <w:szCs w:val="16"/>
              </w:rPr>
            </w:pPr>
            <w:r>
              <w:rPr>
                <w:rFonts w:ascii="Arial" w:eastAsia="Arial" w:hAnsi="Arial" w:cs="Arial"/>
                <w:sz w:val="16"/>
                <w:szCs w:val="16"/>
              </w:rPr>
              <w:t>Providing travel-related online booking services</w:t>
            </w:r>
          </w:p>
          <w:p w14:paraId="57E02031" w14:textId="77777777" w:rsidR="00B16DFE" w:rsidRDefault="009F0859">
            <w:pPr>
              <w:keepNext/>
              <w:keepLines/>
              <w:numPr>
                <w:ilvl w:val="0"/>
                <w:numId w:val="2"/>
              </w:numPr>
              <w:spacing w:after="120" w:line="225" w:lineRule="atLeast"/>
              <w:ind w:left="0" w:hanging="240"/>
              <w:rPr>
                <w:rFonts w:ascii="Arial" w:eastAsia="Arial" w:hAnsi="Arial" w:cs="Arial"/>
                <w:sz w:val="16"/>
                <w:szCs w:val="16"/>
              </w:rPr>
            </w:pPr>
            <w:r>
              <w:rPr>
                <w:rFonts w:ascii="Arial" w:eastAsia="Arial" w:hAnsi="Arial" w:cs="Arial"/>
                <w:sz w:val="16"/>
                <w:szCs w:val="16"/>
              </w:rPr>
              <w:t>Providing travel information</w:t>
            </w:r>
          </w:p>
          <w:p w14:paraId="4C3FDE74" w14:textId="77777777" w:rsidR="00B16DFE" w:rsidRDefault="009F0859">
            <w:pPr>
              <w:keepNext/>
              <w:keepLines/>
              <w:numPr>
                <w:ilvl w:val="0"/>
                <w:numId w:val="2"/>
              </w:numPr>
              <w:spacing w:after="120" w:line="225" w:lineRule="atLeast"/>
              <w:ind w:left="0" w:hanging="240"/>
              <w:rPr>
                <w:rFonts w:ascii="Arial" w:eastAsia="Arial" w:hAnsi="Arial" w:cs="Arial"/>
                <w:sz w:val="16"/>
                <w:szCs w:val="16"/>
              </w:rPr>
            </w:pPr>
            <w:r>
              <w:rPr>
                <w:rFonts w:ascii="Arial" w:eastAsia="Arial" w:hAnsi="Arial" w:cs="Arial"/>
                <w:sz w:val="16"/>
                <w:szCs w:val="16"/>
              </w:rPr>
              <w:t>Making travel arrangements</w:t>
            </w:r>
          </w:p>
          <w:p w14:paraId="4945DC23" w14:textId="77777777" w:rsidR="00B16DFE" w:rsidRDefault="009F0859">
            <w:pPr>
              <w:keepNext/>
              <w:keepLines/>
              <w:numPr>
                <w:ilvl w:val="0"/>
                <w:numId w:val="2"/>
              </w:numPr>
              <w:spacing w:after="120" w:line="225" w:lineRule="atLeast"/>
              <w:ind w:left="0" w:hanging="240"/>
              <w:rPr>
                <w:rFonts w:ascii="Arial" w:eastAsia="Arial" w:hAnsi="Arial" w:cs="Arial"/>
                <w:sz w:val="16"/>
                <w:szCs w:val="16"/>
              </w:rPr>
            </w:pPr>
            <w:r>
              <w:rPr>
                <w:rFonts w:ascii="Arial" w:eastAsia="Arial" w:hAnsi="Arial" w:cs="Arial"/>
                <w:sz w:val="16"/>
                <w:szCs w:val="16"/>
              </w:rPr>
              <w:t>Booking flights and accommodation</w:t>
            </w:r>
          </w:p>
          <w:p w14:paraId="181AF5F2" w14:textId="77777777" w:rsidR="00B16DFE" w:rsidRDefault="009F0859">
            <w:pPr>
              <w:keepNext/>
              <w:keepLines/>
              <w:numPr>
                <w:ilvl w:val="0"/>
                <w:numId w:val="2"/>
              </w:numPr>
              <w:spacing w:after="240" w:line="225" w:lineRule="atLeast"/>
              <w:ind w:left="0" w:hanging="240"/>
              <w:rPr>
                <w:rFonts w:ascii="Arial" w:eastAsia="Arial" w:hAnsi="Arial" w:cs="Arial"/>
                <w:sz w:val="16"/>
                <w:szCs w:val="16"/>
              </w:rPr>
            </w:pPr>
            <w:r>
              <w:rPr>
                <w:rFonts w:ascii="Arial" w:eastAsia="Arial" w:hAnsi="Arial" w:cs="Arial"/>
                <w:sz w:val="16"/>
                <w:szCs w:val="16"/>
              </w:rPr>
              <w:t>Selling travel packages</w:t>
            </w:r>
          </w:p>
          <w:p w14:paraId="5D5A067A"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The major products and services in this industry are:</w:t>
            </w:r>
          </w:p>
          <w:p w14:paraId="61B74DAF" w14:textId="77777777" w:rsidR="00B16DFE" w:rsidRDefault="009F0859">
            <w:pPr>
              <w:keepNext/>
              <w:keepLines/>
              <w:numPr>
                <w:ilvl w:val="0"/>
                <w:numId w:val="3"/>
              </w:numPr>
              <w:spacing w:after="120" w:line="225" w:lineRule="atLeast"/>
              <w:ind w:left="0" w:hanging="240"/>
              <w:rPr>
                <w:rFonts w:ascii="Arial" w:eastAsia="Arial" w:hAnsi="Arial" w:cs="Arial"/>
                <w:sz w:val="16"/>
                <w:szCs w:val="16"/>
              </w:rPr>
            </w:pPr>
            <w:r>
              <w:rPr>
                <w:rFonts w:ascii="Arial" w:eastAsia="Arial" w:hAnsi="Arial" w:cs="Arial"/>
                <w:sz w:val="16"/>
                <w:szCs w:val="16"/>
              </w:rPr>
              <w:t>Travel agency services</w:t>
            </w:r>
          </w:p>
          <w:p w14:paraId="502C2AD5" w14:textId="77777777" w:rsidR="00B16DFE" w:rsidRDefault="009F0859">
            <w:pPr>
              <w:keepNext/>
              <w:keepLines/>
              <w:numPr>
                <w:ilvl w:val="0"/>
                <w:numId w:val="3"/>
              </w:numPr>
              <w:spacing w:after="240" w:line="225" w:lineRule="atLeast"/>
              <w:ind w:left="0" w:hanging="240"/>
              <w:rPr>
                <w:rFonts w:ascii="Arial" w:eastAsia="Arial" w:hAnsi="Arial" w:cs="Arial"/>
                <w:sz w:val="16"/>
                <w:szCs w:val="16"/>
              </w:rPr>
            </w:pPr>
            <w:r>
              <w:rPr>
                <w:rFonts w:ascii="Arial" w:eastAsia="Arial" w:hAnsi="Arial" w:cs="Arial"/>
                <w:sz w:val="16"/>
                <w:szCs w:val="16"/>
              </w:rPr>
              <w:t>Online booking services</w:t>
            </w:r>
          </w:p>
        </w:tc>
      </w:tr>
    </w:tbl>
    <w:p w14:paraId="06567DB7" w14:textId="77777777" w:rsidR="00B16DFE" w:rsidRDefault="009F0859">
      <w:pPr>
        <w:spacing w:after="0" w:line="225" w:lineRule="atLeast"/>
        <w:rPr>
          <w:rFonts w:ascii="Arial" w:eastAsia="Arial" w:hAnsi="Arial" w:cs="Arial"/>
          <w:sz w:val="16"/>
          <w:szCs w:val="16"/>
        </w:rPr>
      </w:pPr>
      <w:r>
        <w:br/>
      </w:r>
    </w:p>
    <w:tbl>
      <w:tblPr>
        <w:tblW w:w="5000" w:type="pct"/>
        <w:tblBorders>
          <w:top w:val="nil"/>
          <w:left w:val="nil"/>
          <w:bottom w:val="nil"/>
          <w:right w:val="nil"/>
          <w:insideH w:val="nil"/>
          <w:insideV w:val="nil"/>
        </w:tblBorders>
        <w:tblLook w:val="04A0" w:firstRow="1" w:lastRow="0" w:firstColumn="1" w:lastColumn="0" w:noHBand="0" w:noVBand="1"/>
      </w:tblPr>
      <w:tblGrid>
        <w:gridCol w:w="10843"/>
      </w:tblGrid>
      <w:tr w:rsidR="00B16DFE" w14:paraId="1B7B6728" w14:textId="77777777">
        <w:tc>
          <w:tcPr>
            <w:tcW w:w="0" w:type="auto"/>
          </w:tcPr>
          <w:p w14:paraId="3F217BFE" w14:textId="77777777" w:rsidR="00B16DFE" w:rsidRDefault="009F0859">
            <w:pPr>
              <w:pStyle w:val="Heading2"/>
              <w:spacing w:before="0" w:line="270" w:lineRule="atLeast"/>
              <w:rPr>
                <w:rFonts w:ascii="Arial" w:eastAsia="Arial" w:hAnsi="Arial" w:cs="Arial"/>
                <w:color w:val="333333"/>
                <w:spacing w:val="4"/>
                <w:sz w:val="21"/>
                <w:szCs w:val="21"/>
              </w:rPr>
            </w:pPr>
            <w:bookmarkStart w:id="5" w:name="_Toc6"/>
            <w:r>
              <w:rPr>
                <w:rFonts w:ascii="Arial" w:eastAsia="Arial" w:hAnsi="Arial" w:cs="Arial"/>
                <w:color w:val="333333"/>
                <w:spacing w:val="4"/>
                <w:sz w:val="21"/>
                <w:szCs w:val="21"/>
              </w:rPr>
              <w:lastRenderedPageBreak/>
              <w:t>Supply Chain</w:t>
            </w:r>
            <w:bookmarkEnd w:id="5"/>
          </w:p>
          <w:p w14:paraId="029EA70E" w14:textId="77777777" w:rsidR="00B16DFE" w:rsidRDefault="009F0859">
            <w:pPr>
              <w:keepNext/>
              <w:keepLines/>
              <w:spacing w:after="0" w:line="225" w:lineRule="atLeast"/>
              <w:rPr>
                <w:rFonts w:ascii="Arial" w:eastAsia="Arial" w:hAnsi="Arial" w:cs="Arial"/>
                <w:sz w:val="16"/>
                <w:szCs w:val="16"/>
              </w:rPr>
            </w:pPr>
            <w:r>
              <w:br/>
            </w:r>
            <w:r>
              <w:rPr>
                <w:noProof/>
              </w:rPr>
              <w:drawing>
                <wp:inline distT="0" distB="0" distL="0" distR="0" wp14:anchorId="2E6FF2C3" wp14:editId="17C0F710">
                  <wp:extent cx="6667500" cy="2879148"/>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cstate="print"/>
                          <a:stretch>
                            <a:fillRect/>
                          </a:stretch>
                        </pic:blipFill>
                        <pic:spPr>
                          <a:xfrm>
                            <a:off x="0" y="0"/>
                            <a:ext cx="6667500" cy="2879148"/>
                          </a:xfrm>
                          <a:prstGeom prst="rect">
                            <a:avLst/>
                          </a:prstGeom>
                        </pic:spPr>
                      </pic:pic>
                    </a:graphicData>
                  </a:graphic>
                </wp:inline>
              </w:drawing>
            </w:r>
          </w:p>
        </w:tc>
      </w:tr>
      <w:tr w:rsidR="00B16DFE" w14:paraId="5EF0512A" w14:textId="77777777">
        <w:tc>
          <w:tcPr>
            <w:tcW w:w="0" w:type="auto"/>
          </w:tcPr>
          <w:p w14:paraId="68311D4F" w14:textId="77777777" w:rsidR="00B16DFE" w:rsidRDefault="009F0859">
            <w:pPr>
              <w:keepNext/>
              <w:keepLines/>
              <w:spacing w:after="0" w:line="225" w:lineRule="atLeast"/>
              <w:rPr>
                <w:rFonts w:ascii="Arial" w:eastAsia="Arial" w:hAnsi="Arial" w:cs="Arial"/>
                <w:sz w:val="16"/>
                <w:szCs w:val="16"/>
              </w:rPr>
            </w:pPr>
            <w:r>
              <w:br/>
            </w:r>
          </w:p>
          <w:tbl>
            <w:tblPr>
              <w:tblW w:w="5000" w:type="pct"/>
              <w:tblBorders>
                <w:top w:val="nil"/>
                <w:left w:val="nil"/>
                <w:bottom w:val="nil"/>
                <w:right w:val="nil"/>
                <w:insideH w:val="nil"/>
                <w:insideV w:val="nil"/>
              </w:tblBorders>
              <w:tblLook w:val="04A0" w:firstRow="1" w:lastRow="0" w:firstColumn="1" w:lastColumn="0" w:noHBand="0" w:noVBand="1"/>
            </w:tblPr>
            <w:tblGrid>
              <w:gridCol w:w="2656"/>
              <w:gridCol w:w="2657"/>
              <w:gridCol w:w="2657"/>
              <w:gridCol w:w="2657"/>
            </w:tblGrid>
            <w:tr w:rsidR="00B16DFE" w14:paraId="51D8ED4E" w14:textId="77777777">
              <w:tc>
                <w:tcPr>
                  <w:tcW w:w="1250" w:type="pct"/>
                  <w:gridSpan w:val="4"/>
                  <w:tcMar>
                    <w:top w:w="60" w:type="dxa"/>
                    <w:left w:w="0" w:type="dxa"/>
                    <w:bottom w:w="0" w:type="dxa"/>
                    <w:right w:w="0" w:type="dxa"/>
                  </w:tcMar>
                </w:tcPr>
                <w:p w14:paraId="3F3E3DE2" w14:textId="77777777" w:rsidR="00B16DFE" w:rsidRDefault="009F0859">
                  <w:pPr>
                    <w:pStyle w:val="Heading3"/>
                    <w:spacing w:before="0" w:after="180" w:line="270" w:lineRule="atLeast"/>
                    <w:jc w:val="center"/>
                    <w:rPr>
                      <w:rFonts w:ascii="Arial" w:eastAsia="Arial" w:hAnsi="Arial" w:cs="Arial"/>
                      <w:caps/>
                      <w:color w:val="000000"/>
                      <w:sz w:val="18"/>
                      <w:szCs w:val="18"/>
                    </w:rPr>
                  </w:pPr>
                  <w:r>
                    <w:rPr>
                      <w:rFonts w:ascii="Arial" w:eastAsia="Arial" w:hAnsi="Arial" w:cs="Arial"/>
                      <w:caps/>
                      <w:color w:val="000000"/>
                      <w:sz w:val="18"/>
                      <w:szCs w:val="18"/>
                    </w:rPr>
                    <w:t>Similar Industries</w:t>
                  </w:r>
                </w:p>
              </w:tc>
            </w:tr>
            <w:tr w:rsidR="00B16DFE" w14:paraId="270C4FAF" w14:textId="77777777">
              <w:tc>
                <w:tcPr>
                  <w:tcW w:w="1250" w:type="pct"/>
                  <w:tcMar>
                    <w:top w:w="60" w:type="dxa"/>
                    <w:left w:w="0" w:type="dxa"/>
                    <w:bottom w:w="0" w:type="dxa"/>
                    <w:right w:w="0" w:type="dxa"/>
                  </w:tcMar>
                </w:tcPr>
                <w:p w14:paraId="0A1499E3"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 xml:space="preserve">Sea &amp; Coastal </w:t>
                  </w:r>
                  <w:r>
                    <w:rPr>
                      <w:rFonts w:ascii="Arial" w:eastAsia="Arial" w:hAnsi="Arial" w:cs="Arial"/>
                      <w:sz w:val="16"/>
                      <w:szCs w:val="16"/>
                    </w:rPr>
                    <w:t>Passenger Water Transport in the UK</w:t>
                  </w:r>
                </w:p>
              </w:tc>
              <w:tc>
                <w:tcPr>
                  <w:tcW w:w="1250" w:type="pct"/>
                  <w:tcMar>
                    <w:top w:w="60" w:type="dxa"/>
                    <w:left w:w="0" w:type="dxa"/>
                    <w:bottom w:w="0" w:type="dxa"/>
                    <w:right w:w="0" w:type="dxa"/>
                  </w:tcMar>
                </w:tcPr>
                <w:p w14:paraId="5360570E"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Scheduled Passenger Air Transport in the UK</w:t>
                  </w:r>
                </w:p>
              </w:tc>
              <w:tc>
                <w:tcPr>
                  <w:tcW w:w="1250" w:type="pct"/>
                  <w:tcMar>
                    <w:top w:w="60" w:type="dxa"/>
                    <w:left w:w="0" w:type="dxa"/>
                    <w:bottom w:w="0" w:type="dxa"/>
                    <w:right w:w="0" w:type="dxa"/>
                  </w:tcMar>
                </w:tcPr>
                <w:p w14:paraId="31F899C4"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Non-Scheduled Passenger Air Transport in the UK</w:t>
                  </w:r>
                </w:p>
              </w:tc>
              <w:tc>
                <w:tcPr>
                  <w:tcW w:w="1250" w:type="pct"/>
                  <w:tcMar>
                    <w:top w:w="60" w:type="dxa"/>
                    <w:left w:w="0" w:type="dxa"/>
                    <w:bottom w:w="0" w:type="dxa"/>
                    <w:right w:w="0" w:type="dxa"/>
                  </w:tcMar>
                </w:tcPr>
                <w:p w14:paraId="292FBA56"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Tour Operators in the UK</w:t>
                  </w:r>
                </w:p>
              </w:tc>
            </w:tr>
            <w:tr w:rsidR="00B16DFE" w14:paraId="664CAEC5" w14:textId="77777777">
              <w:tc>
                <w:tcPr>
                  <w:tcW w:w="1250" w:type="pct"/>
                  <w:tcMar>
                    <w:top w:w="60" w:type="dxa"/>
                    <w:left w:w="0" w:type="dxa"/>
                    <w:bottom w:w="0" w:type="dxa"/>
                    <w:right w:w="0" w:type="dxa"/>
                  </w:tcMar>
                </w:tcPr>
                <w:p w14:paraId="1E59A945"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60D2DA95" wp14:editId="141861B2">
                        <wp:extent cx="742950" cy="152400"/>
                        <wp:effectExtent l="0" t="0" r="0" b="0"/>
                        <wp:docPr id="11" name="Picture 11" descr="Complementor"/>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cstate="print"/>
                                <a:stretch>
                                  <a:fillRect/>
                                </a:stretch>
                              </pic:blipFill>
                              <pic:spPr>
                                <a:xfrm>
                                  <a:off x="0" y="0"/>
                                  <a:ext cx="742950" cy="152400"/>
                                </a:xfrm>
                                <a:prstGeom prst="rect">
                                  <a:avLst/>
                                </a:prstGeom>
                              </pic:spPr>
                            </pic:pic>
                          </a:graphicData>
                        </a:graphic>
                      </wp:inline>
                    </w:drawing>
                  </w:r>
                </w:p>
              </w:tc>
              <w:tc>
                <w:tcPr>
                  <w:tcW w:w="1250" w:type="pct"/>
                  <w:tcMar>
                    <w:top w:w="60" w:type="dxa"/>
                    <w:left w:w="0" w:type="dxa"/>
                    <w:bottom w:w="0" w:type="dxa"/>
                    <w:right w:w="0" w:type="dxa"/>
                  </w:tcMar>
                </w:tcPr>
                <w:p w14:paraId="70BF747C"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06689BCC" wp14:editId="762D8213">
                        <wp:extent cx="742950" cy="152400"/>
                        <wp:effectExtent l="0" t="0" r="0" b="0"/>
                        <wp:docPr id="13" name="Picture 13" descr="Complementor"/>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1" cstate="print"/>
                                <a:stretch>
                                  <a:fillRect/>
                                </a:stretch>
                              </pic:blipFill>
                              <pic:spPr>
                                <a:xfrm>
                                  <a:off x="0" y="0"/>
                                  <a:ext cx="742950" cy="152400"/>
                                </a:xfrm>
                                <a:prstGeom prst="rect">
                                  <a:avLst/>
                                </a:prstGeom>
                              </pic:spPr>
                            </pic:pic>
                          </a:graphicData>
                        </a:graphic>
                      </wp:inline>
                    </w:drawing>
                  </w:r>
                </w:p>
              </w:tc>
              <w:tc>
                <w:tcPr>
                  <w:tcW w:w="1250" w:type="pct"/>
                  <w:tcMar>
                    <w:top w:w="60" w:type="dxa"/>
                    <w:left w:w="0" w:type="dxa"/>
                    <w:bottom w:w="0" w:type="dxa"/>
                    <w:right w:w="0" w:type="dxa"/>
                  </w:tcMar>
                </w:tcPr>
                <w:p w14:paraId="7BE4B0A1"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4AE4101B" wp14:editId="2A4AC9BB">
                        <wp:extent cx="742950" cy="152400"/>
                        <wp:effectExtent l="0" t="0" r="0" b="0"/>
                        <wp:docPr id="15" name="Picture 15" descr="Complementor"/>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1" cstate="print"/>
                                <a:stretch>
                                  <a:fillRect/>
                                </a:stretch>
                              </pic:blipFill>
                              <pic:spPr>
                                <a:xfrm>
                                  <a:off x="0" y="0"/>
                                  <a:ext cx="742950" cy="152400"/>
                                </a:xfrm>
                                <a:prstGeom prst="rect">
                                  <a:avLst/>
                                </a:prstGeom>
                              </pic:spPr>
                            </pic:pic>
                          </a:graphicData>
                        </a:graphic>
                      </wp:inline>
                    </w:drawing>
                  </w:r>
                </w:p>
              </w:tc>
              <w:tc>
                <w:tcPr>
                  <w:tcW w:w="1250" w:type="pct"/>
                  <w:tcMar>
                    <w:top w:w="60" w:type="dxa"/>
                    <w:left w:w="0" w:type="dxa"/>
                    <w:bottom w:w="0" w:type="dxa"/>
                    <w:right w:w="0" w:type="dxa"/>
                  </w:tcMar>
                </w:tcPr>
                <w:p w14:paraId="0F590CCC"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1229D052" wp14:editId="692994E8">
                        <wp:extent cx="742950" cy="152400"/>
                        <wp:effectExtent l="0" t="0" r="0" b="0"/>
                        <wp:docPr id="17" name="Picture 17" descr="Complementor"/>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1" cstate="print"/>
                                <a:stretch>
                                  <a:fillRect/>
                                </a:stretch>
                              </pic:blipFill>
                              <pic:spPr>
                                <a:xfrm>
                                  <a:off x="0" y="0"/>
                                  <a:ext cx="742950" cy="152400"/>
                                </a:xfrm>
                                <a:prstGeom prst="rect">
                                  <a:avLst/>
                                </a:prstGeom>
                              </pic:spPr>
                            </pic:pic>
                          </a:graphicData>
                        </a:graphic>
                      </wp:inline>
                    </w:drawing>
                  </w:r>
                </w:p>
              </w:tc>
            </w:tr>
            <w:tr w:rsidR="00B16DFE" w14:paraId="0939B469" w14:textId="77777777">
              <w:tc>
                <w:tcPr>
                  <w:tcW w:w="1250" w:type="pct"/>
                  <w:tcMar>
                    <w:top w:w="60" w:type="dxa"/>
                    <w:left w:w="0" w:type="dxa"/>
                    <w:bottom w:w="0" w:type="dxa"/>
                    <w:right w:w="0" w:type="dxa"/>
                  </w:tcMar>
                </w:tcPr>
                <w:p w14:paraId="26D9B268"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 </w:t>
                  </w:r>
                </w:p>
              </w:tc>
              <w:tc>
                <w:tcPr>
                  <w:tcW w:w="1250" w:type="pct"/>
                  <w:tcMar>
                    <w:top w:w="60" w:type="dxa"/>
                    <w:left w:w="0" w:type="dxa"/>
                    <w:bottom w:w="0" w:type="dxa"/>
                    <w:right w:w="0" w:type="dxa"/>
                  </w:tcMar>
                </w:tcPr>
                <w:p w14:paraId="089DF668"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 </w:t>
                  </w:r>
                </w:p>
              </w:tc>
              <w:tc>
                <w:tcPr>
                  <w:tcW w:w="1250" w:type="pct"/>
                  <w:tcMar>
                    <w:top w:w="60" w:type="dxa"/>
                    <w:left w:w="0" w:type="dxa"/>
                    <w:bottom w:w="0" w:type="dxa"/>
                    <w:right w:w="0" w:type="dxa"/>
                  </w:tcMar>
                </w:tcPr>
                <w:p w14:paraId="2F02B738"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 </w:t>
                  </w:r>
                </w:p>
              </w:tc>
              <w:tc>
                <w:tcPr>
                  <w:tcW w:w="1250" w:type="pct"/>
                  <w:tcMar>
                    <w:top w:w="60" w:type="dxa"/>
                    <w:left w:w="0" w:type="dxa"/>
                    <w:bottom w:w="0" w:type="dxa"/>
                    <w:right w:w="0" w:type="dxa"/>
                  </w:tcMar>
                </w:tcPr>
                <w:p w14:paraId="163BA51B"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r>
            <w:tr w:rsidR="00B16DFE" w14:paraId="2DD02471" w14:textId="77777777">
              <w:tc>
                <w:tcPr>
                  <w:tcW w:w="1250" w:type="pct"/>
                  <w:tcMar>
                    <w:top w:w="60" w:type="dxa"/>
                    <w:left w:w="0" w:type="dxa"/>
                    <w:bottom w:w="0" w:type="dxa"/>
                    <w:right w:w="0" w:type="dxa"/>
                  </w:tcMar>
                </w:tcPr>
                <w:p w14:paraId="05CACB15"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 </w:t>
                  </w:r>
                </w:p>
              </w:tc>
              <w:tc>
                <w:tcPr>
                  <w:tcW w:w="1250" w:type="pct"/>
                  <w:tcMar>
                    <w:top w:w="60" w:type="dxa"/>
                    <w:left w:w="0" w:type="dxa"/>
                    <w:bottom w:w="0" w:type="dxa"/>
                    <w:right w:w="0" w:type="dxa"/>
                  </w:tcMar>
                </w:tcPr>
                <w:p w14:paraId="4FDD9B2D"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 </w:t>
                  </w:r>
                </w:p>
              </w:tc>
              <w:tc>
                <w:tcPr>
                  <w:tcW w:w="1250" w:type="pct"/>
                  <w:tcMar>
                    <w:top w:w="60" w:type="dxa"/>
                    <w:left w:w="0" w:type="dxa"/>
                    <w:bottom w:w="0" w:type="dxa"/>
                    <w:right w:w="0" w:type="dxa"/>
                  </w:tcMar>
                </w:tcPr>
                <w:p w14:paraId="0396F02F"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 </w:t>
                  </w:r>
                </w:p>
              </w:tc>
              <w:tc>
                <w:tcPr>
                  <w:tcW w:w="1250" w:type="pct"/>
                  <w:tcMar>
                    <w:top w:w="60" w:type="dxa"/>
                    <w:left w:w="0" w:type="dxa"/>
                    <w:bottom w:w="0" w:type="dxa"/>
                    <w:right w:w="0" w:type="dxa"/>
                  </w:tcMar>
                </w:tcPr>
                <w:p w14:paraId="5088DE97"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r>
          </w:tbl>
          <w:p w14:paraId="2512D7DF" w14:textId="77777777" w:rsidR="00B16DFE" w:rsidRDefault="00B16DFE"/>
        </w:tc>
      </w:tr>
      <w:tr w:rsidR="00B16DFE" w14:paraId="64CCDD2C" w14:textId="77777777">
        <w:tc>
          <w:tcPr>
            <w:tcW w:w="0" w:type="auto"/>
          </w:tcPr>
          <w:p w14:paraId="44669937" w14:textId="77777777" w:rsidR="00B16DFE" w:rsidRDefault="00B16DFE">
            <w:pPr>
              <w:keepNext/>
              <w:keepLines/>
              <w:spacing w:after="0" w:line="225" w:lineRule="atLeast"/>
              <w:rPr>
                <w:rFonts w:ascii="Arial" w:eastAsia="Arial" w:hAnsi="Arial" w:cs="Arial"/>
                <w:sz w:val="16"/>
                <w:szCs w:val="16"/>
              </w:rPr>
            </w:pPr>
          </w:p>
          <w:tbl>
            <w:tblPr>
              <w:tblW w:w="5000" w:type="pct"/>
              <w:tblBorders>
                <w:top w:val="nil"/>
                <w:left w:val="nil"/>
                <w:bottom w:val="nil"/>
                <w:right w:val="nil"/>
                <w:insideH w:val="nil"/>
                <w:insideV w:val="nil"/>
              </w:tblBorders>
              <w:tblLook w:val="04A0" w:firstRow="1" w:lastRow="0" w:firstColumn="1" w:lastColumn="0" w:noHBand="0" w:noVBand="1"/>
            </w:tblPr>
            <w:tblGrid>
              <w:gridCol w:w="2656"/>
              <w:gridCol w:w="2657"/>
              <w:gridCol w:w="2657"/>
              <w:gridCol w:w="2657"/>
            </w:tblGrid>
            <w:tr w:rsidR="00B16DFE" w14:paraId="2E02031E" w14:textId="77777777">
              <w:tc>
                <w:tcPr>
                  <w:tcW w:w="1250" w:type="pct"/>
                  <w:gridSpan w:val="4"/>
                  <w:tcMar>
                    <w:top w:w="60" w:type="dxa"/>
                    <w:left w:w="0" w:type="dxa"/>
                    <w:bottom w:w="0" w:type="dxa"/>
                    <w:right w:w="0" w:type="dxa"/>
                  </w:tcMar>
                </w:tcPr>
                <w:p w14:paraId="2F10AE78" w14:textId="77777777" w:rsidR="00B16DFE" w:rsidRDefault="009F0859">
                  <w:pPr>
                    <w:pStyle w:val="Heading3"/>
                    <w:spacing w:before="0" w:after="180" w:line="270" w:lineRule="atLeast"/>
                    <w:jc w:val="center"/>
                    <w:rPr>
                      <w:rFonts w:ascii="Arial" w:eastAsia="Arial" w:hAnsi="Arial" w:cs="Arial"/>
                      <w:caps/>
                      <w:color w:val="000000"/>
                      <w:sz w:val="18"/>
                      <w:szCs w:val="18"/>
                    </w:rPr>
                  </w:pPr>
                  <w:r>
                    <w:rPr>
                      <w:rFonts w:ascii="Arial" w:eastAsia="Arial" w:hAnsi="Arial" w:cs="Arial"/>
                      <w:caps/>
                      <w:color w:val="000000"/>
                      <w:sz w:val="18"/>
                      <w:szCs w:val="18"/>
                    </w:rPr>
                    <w:t>Related International Industries</w:t>
                  </w:r>
                </w:p>
              </w:tc>
            </w:tr>
            <w:tr w:rsidR="00B16DFE" w14:paraId="05C10C28" w14:textId="77777777">
              <w:tc>
                <w:tcPr>
                  <w:tcW w:w="1250" w:type="pct"/>
                  <w:tcMar>
                    <w:top w:w="60" w:type="dxa"/>
                    <w:left w:w="0" w:type="dxa"/>
                    <w:bottom w:w="0" w:type="dxa"/>
                    <w:right w:w="0" w:type="dxa"/>
                  </w:tcMar>
                </w:tcPr>
                <w:p w14:paraId="1E3E615B"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Global Travel Agency Services</w:t>
                  </w:r>
                </w:p>
              </w:tc>
              <w:tc>
                <w:tcPr>
                  <w:tcW w:w="1250" w:type="pct"/>
                  <w:tcMar>
                    <w:top w:w="60" w:type="dxa"/>
                    <w:left w:w="0" w:type="dxa"/>
                    <w:bottom w:w="0" w:type="dxa"/>
                    <w:right w:w="0" w:type="dxa"/>
                  </w:tcMar>
                </w:tcPr>
                <w:p w14:paraId="5A299029"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Travel Agencies in the US</w:t>
                  </w:r>
                </w:p>
              </w:tc>
              <w:tc>
                <w:tcPr>
                  <w:tcW w:w="1250" w:type="pct"/>
                  <w:tcMar>
                    <w:top w:w="60" w:type="dxa"/>
                    <w:left w:w="0" w:type="dxa"/>
                    <w:bottom w:w="0" w:type="dxa"/>
                    <w:right w:w="0" w:type="dxa"/>
                  </w:tcMar>
                </w:tcPr>
                <w:p w14:paraId="078C6644"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Cruise &amp; Travel Agency Franchises</w:t>
                  </w:r>
                </w:p>
              </w:tc>
              <w:tc>
                <w:tcPr>
                  <w:tcW w:w="1250" w:type="pct"/>
                  <w:tcMar>
                    <w:top w:w="60" w:type="dxa"/>
                    <w:left w:w="0" w:type="dxa"/>
                    <w:bottom w:w="0" w:type="dxa"/>
                    <w:right w:w="0" w:type="dxa"/>
                  </w:tcMar>
                </w:tcPr>
                <w:p w14:paraId="303BEB5D"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Travel Agency and Tour Arrangement Services in Australia</w:t>
                  </w:r>
                </w:p>
              </w:tc>
            </w:tr>
            <w:tr w:rsidR="00B16DFE" w14:paraId="4FF8C0C2" w14:textId="77777777">
              <w:tc>
                <w:tcPr>
                  <w:tcW w:w="1250" w:type="pct"/>
                  <w:tcMar>
                    <w:top w:w="60" w:type="dxa"/>
                    <w:left w:w="0" w:type="dxa"/>
                    <w:bottom w:w="0" w:type="dxa"/>
                    <w:right w:w="0" w:type="dxa"/>
                  </w:tcMar>
                </w:tcPr>
                <w:p w14:paraId="59FC04F0"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Travel Agencies in China</w:t>
                  </w:r>
                </w:p>
              </w:tc>
              <w:tc>
                <w:tcPr>
                  <w:tcW w:w="1250" w:type="pct"/>
                  <w:tcMar>
                    <w:top w:w="60" w:type="dxa"/>
                    <w:left w:w="0" w:type="dxa"/>
                    <w:bottom w:w="0" w:type="dxa"/>
                    <w:right w:w="0" w:type="dxa"/>
                  </w:tcMar>
                </w:tcPr>
                <w:p w14:paraId="3456640C"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Travel Agencies in Canada</w:t>
                  </w:r>
                </w:p>
              </w:tc>
              <w:tc>
                <w:tcPr>
                  <w:tcW w:w="1250" w:type="pct"/>
                  <w:tcMar>
                    <w:top w:w="60" w:type="dxa"/>
                    <w:left w:w="0" w:type="dxa"/>
                    <w:bottom w:w="0" w:type="dxa"/>
                    <w:right w:w="0" w:type="dxa"/>
                  </w:tcMar>
                </w:tcPr>
                <w:p w14:paraId="7148F9AC"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Travel Agency and Tour Arrangement Services in New Zealand</w:t>
                  </w:r>
                </w:p>
              </w:tc>
              <w:tc>
                <w:tcPr>
                  <w:tcW w:w="1250" w:type="pct"/>
                  <w:tcMar>
                    <w:top w:w="60" w:type="dxa"/>
                    <w:left w:w="0" w:type="dxa"/>
                    <w:bottom w:w="0" w:type="dxa"/>
                    <w:right w:w="0" w:type="dxa"/>
                  </w:tcMar>
                </w:tcPr>
                <w:p w14:paraId="179F291B"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xml:space="preserve">Travel Agencies and Tour </w:t>
                  </w:r>
                  <w:r>
                    <w:rPr>
                      <w:rFonts w:ascii="Arial" w:eastAsia="Arial" w:hAnsi="Arial" w:cs="Arial"/>
                      <w:sz w:val="16"/>
                      <w:szCs w:val="16"/>
                    </w:rPr>
                    <w:t>Operators in Ireland</w:t>
                  </w:r>
                </w:p>
              </w:tc>
            </w:tr>
            <w:tr w:rsidR="00B16DFE" w14:paraId="299AF909" w14:textId="77777777">
              <w:tc>
                <w:tcPr>
                  <w:tcW w:w="1250" w:type="pct"/>
                  <w:tcMar>
                    <w:top w:w="60" w:type="dxa"/>
                    <w:left w:w="0" w:type="dxa"/>
                    <w:bottom w:w="0" w:type="dxa"/>
                    <w:right w:w="0" w:type="dxa"/>
                  </w:tcMar>
                </w:tcPr>
                <w:p w14:paraId="1507A50D"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 </w:t>
                  </w:r>
                </w:p>
              </w:tc>
              <w:tc>
                <w:tcPr>
                  <w:tcW w:w="1250" w:type="pct"/>
                  <w:tcMar>
                    <w:top w:w="60" w:type="dxa"/>
                    <w:left w:w="0" w:type="dxa"/>
                    <w:bottom w:w="0" w:type="dxa"/>
                    <w:right w:w="0" w:type="dxa"/>
                  </w:tcMar>
                </w:tcPr>
                <w:p w14:paraId="61539DA4"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 </w:t>
                  </w:r>
                </w:p>
              </w:tc>
              <w:tc>
                <w:tcPr>
                  <w:tcW w:w="1250" w:type="pct"/>
                  <w:tcMar>
                    <w:top w:w="60" w:type="dxa"/>
                    <w:left w:w="0" w:type="dxa"/>
                    <w:bottom w:w="0" w:type="dxa"/>
                    <w:right w:w="0" w:type="dxa"/>
                  </w:tcMar>
                </w:tcPr>
                <w:p w14:paraId="5FD38613" w14:textId="77777777" w:rsidR="00B16DFE" w:rsidRDefault="009F0859">
                  <w:pPr>
                    <w:keepNext/>
                    <w:keepLines/>
                    <w:spacing w:after="0" w:line="225" w:lineRule="atLeast"/>
                    <w:ind w:right="150"/>
                    <w:rPr>
                      <w:rFonts w:ascii="Arial" w:eastAsia="Arial" w:hAnsi="Arial" w:cs="Arial"/>
                      <w:sz w:val="16"/>
                      <w:szCs w:val="16"/>
                    </w:rPr>
                  </w:pPr>
                  <w:r>
                    <w:rPr>
                      <w:rFonts w:ascii="Arial" w:eastAsia="Arial" w:hAnsi="Arial" w:cs="Arial"/>
                      <w:sz w:val="16"/>
                      <w:szCs w:val="16"/>
                    </w:rPr>
                    <w:t> </w:t>
                  </w:r>
                </w:p>
              </w:tc>
              <w:tc>
                <w:tcPr>
                  <w:tcW w:w="1250" w:type="pct"/>
                  <w:tcMar>
                    <w:top w:w="60" w:type="dxa"/>
                    <w:left w:w="0" w:type="dxa"/>
                    <w:bottom w:w="0" w:type="dxa"/>
                    <w:right w:w="0" w:type="dxa"/>
                  </w:tcMar>
                </w:tcPr>
                <w:p w14:paraId="50CB7D83"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r>
          </w:tbl>
          <w:p w14:paraId="39509E12" w14:textId="77777777" w:rsidR="00B16DFE" w:rsidRDefault="00B16DFE"/>
        </w:tc>
      </w:tr>
    </w:tbl>
    <w:p w14:paraId="224DC983" w14:textId="77777777" w:rsidR="00B16DFE" w:rsidRDefault="00B16DFE">
      <w:pPr>
        <w:sectPr w:rsidR="00B16DFE">
          <w:headerReference w:type="default" r:id="rId22"/>
          <w:footerReference w:type="default" r:id="rId23"/>
          <w:pgSz w:w="11907" w:h="16839" w:code="9"/>
          <w:pgMar w:top="640" w:right="640" w:bottom="640" w:left="640" w:header="0" w:footer="0" w:gutter="0"/>
          <w:cols w:space="708"/>
          <w:docGrid w:linePitch="360"/>
        </w:sectPr>
      </w:pPr>
    </w:p>
    <w:p w14:paraId="1D3868FB" w14:textId="77777777" w:rsidR="00B16DFE" w:rsidRDefault="009F0859">
      <w:pPr>
        <w:pStyle w:val="Heading1"/>
        <w:spacing w:before="0" w:after="240" w:line="420" w:lineRule="atLeast"/>
        <w:rPr>
          <w:rFonts w:ascii="Arial" w:eastAsia="Arial" w:hAnsi="Arial" w:cs="Arial"/>
          <w:b w:val="0"/>
          <w:bCs w:val="0"/>
          <w:color w:val="333333"/>
          <w:sz w:val="36"/>
          <w:szCs w:val="36"/>
        </w:rPr>
      </w:pPr>
      <w:bookmarkStart w:id="6" w:name="_Toc7"/>
      <w:r>
        <w:rPr>
          <w:rFonts w:ascii="Arial" w:eastAsia="Arial" w:hAnsi="Arial" w:cs="Arial"/>
          <w:b w:val="0"/>
          <w:bCs w:val="0"/>
          <w:color w:val="333333"/>
          <w:sz w:val="36"/>
          <w:szCs w:val="36"/>
        </w:rPr>
        <w:lastRenderedPageBreak/>
        <w:t xml:space="preserve">Industry </w:t>
      </w:r>
      <w:proofErr w:type="gramStart"/>
      <w:r>
        <w:rPr>
          <w:rFonts w:ascii="Arial" w:eastAsia="Arial" w:hAnsi="Arial" w:cs="Arial"/>
          <w:b w:val="0"/>
          <w:bCs w:val="0"/>
          <w:color w:val="333333"/>
          <w:sz w:val="36"/>
          <w:szCs w:val="36"/>
        </w:rPr>
        <w:t>at a Glance</w:t>
      </w:r>
      <w:bookmarkEnd w:id="6"/>
      <w:proofErr w:type="gramEnd"/>
    </w:p>
    <w:tbl>
      <w:tblPr>
        <w:tblW w:w="5000" w:type="pct"/>
        <w:tblBorders>
          <w:top w:val="nil"/>
          <w:left w:val="nil"/>
          <w:bottom w:val="nil"/>
          <w:right w:val="nil"/>
          <w:insideH w:val="nil"/>
          <w:insideV w:val="nil"/>
        </w:tblBorders>
        <w:tblLook w:val="04A0" w:firstRow="1" w:lastRow="0" w:firstColumn="1" w:lastColumn="0" w:noHBand="0" w:noVBand="1"/>
      </w:tblPr>
      <w:tblGrid>
        <w:gridCol w:w="10843"/>
      </w:tblGrid>
      <w:tr w:rsidR="00B16DFE" w14:paraId="1CBBF4FD" w14:textId="77777777">
        <w:trPr>
          <w:cantSplit/>
        </w:trPr>
        <w:tc>
          <w:tcPr>
            <w:tcW w:w="0" w:type="auto"/>
          </w:tcPr>
          <w:tbl>
            <w:tblPr>
              <w:tblW w:w="5000" w:type="pct"/>
              <w:tblBorders>
                <w:top w:val="nil"/>
                <w:left w:val="nil"/>
                <w:bottom w:val="nil"/>
                <w:right w:val="nil"/>
                <w:insideH w:val="nil"/>
                <w:insideV w:val="nil"/>
              </w:tblBorders>
              <w:tblLook w:val="04A0" w:firstRow="1" w:lastRow="0" w:firstColumn="1" w:lastColumn="0" w:noHBand="0" w:noVBand="1"/>
            </w:tblPr>
            <w:tblGrid>
              <w:gridCol w:w="5313"/>
              <w:gridCol w:w="5314"/>
            </w:tblGrid>
            <w:tr w:rsidR="00B16DFE" w14:paraId="3205EB50" w14:textId="77777777">
              <w:tc>
                <w:tcPr>
                  <w:tcW w:w="2500" w:type="pct"/>
                </w:tcPr>
                <w:p w14:paraId="1820161D" w14:textId="77777777" w:rsidR="00B16DFE" w:rsidRDefault="009F0859">
                  <w:pPr>
                    <w:spacing w:after="0" w:line="270" w:lineRule="atLeast"/>
                    <w:ind w:left="60"/>
                    <w:rPr>
                      <w:rFonts w:ascii="Arial" w:eastAsia="Arial" w:hAnsi="Arial" w:cs="Arial"/>
                      <w:b/>
                      <w:bCs/>
                      <w:color w:val="333333"/>
                      <w:spacing w:val="4"/>
                      <w:sz w:val="21"/>
                      <w:szCs w:val="21"/>
                    </w:rPr>
                  </w:pPr>
                  <w:r>
                    <w:rPr>
                      <w:rFonts w:ascii="Arial" w:eastAsia="Arial" w:hAnsi="Arial" w:cs="Arial"/>
                      <w:b/>
                      <w:bCs/>
                      <w:color w:val="333333"/>
                      <w:spacing w:val="4"/>
                      <w:sz w:val="21"/>
                      <w:szCs w:val="21"/>
                    </w:rPr>
                    <w:t>Key Statistics</w:t>
                  </w:r>
                </w:p>
                <w:p w14:paraId="21FD2177" w14:textId="77777777" w:rsidR="00B16DFE" w:rsidRDefault="00B16DFE">
                  <w:pPr>
                    <w:spacing w:after="0" w:line="225" w:lineRule="atLeast"/>
                    <w:rPr>
                      <w:rFonts w:ascii="Arial" w:eastAsia="Arial" w:hAnsi="Arial" w:cs="Arial"/>
                      <w:sz w:val="16"/>
                      <w:szCs w:val="16"/>
                    </w:rPr>
                  </w:pPr>
                </w:p>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876"/>
                    <w:gridCol w:w="2071"/>
                    <w:gridCol w:w="2150"/>
                  </w:tblGrid>
                  <w:tr w:rsidR="00B16DFE" w14:paraId="3E0A3B80" w14:textId="77777777">
                    <w:trPr>
                      <w:tblCellSpacing w:w="30" w:type="dxa"/>
                    </w:trPr>
                    <w:tc>
                      <w:tcPr>
                        <w:tcW w:w="50" w:type="pct"/>
                        <w:vAlign w:val="center"/>
                      </w:tcPr>
                      <w:p w14:paraId="06F99E49" w14:textId="77777777" w:rsidR="00B16DFE" w:rsidRDefault="009F0859">
                        <w:pPr>
                          <w:spacing w:after="0" w:line="225" w:lineRule="atLeast"/>
                          <w:rPr>
                            <w:rFonts w:ascii="Arial" w:eastAsia="Arial" w:hAnsi="Arial" w:cs="Arial"/>
                            <w:sz w:val="16"/>
                            <w:szCs w:val="16"/>
                          </w:rPr>
                        </w:pPr>
                        <w:r>
                          <w:rPr>
                            <w:noProof/>
                          </w:rPr>
                          <w:drawing>
                            <wp:inline distT="0" distB="0" distL="0" distR="0" wp14:anchorId="7B426E2E" wp14:editId="3E89DC1D">
                              <wp:extent cx="361950" cy="352425"/>
                              <wp:effectExtent l="0" t="0" r="0" b="0"/>
                              <wp:docPr id="19" name="Picture 19" descr="Revenue"/>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4" cstate="print"/>
                                      <a:stretch>
                                        <a:fillRect/>
                                      </a:stretch>
                                    </pic:blipFill>
                                    <pic:spPr>
                                      <a:xfrm>
                                        <a:off x="0" y="0"/>
                                        <a:ext cx="361950" cy="352425"/>
                                      </a:xfrm>
                                      <a:prstGeom prst="rect">
                                        <a:avLst/>
                                      </a:prstGeom>
                                    </pic:spPr>
                                  </pic:pic>
                                </a:graphicData>
                              </a:graphic>
                            </wp:inline>
                          </w:drawing>
                        </w:r>
                      </w:p>
                    </w:tc>
                    <w:tc>
                      <w:tcPr>
                        <w:tcW w:w="0" w:type="auto"/>
                        <w:vAlign w:val="center"/>
                      </w:tcPr>
                      <w:p w14:paraId="313A1802" w14:textId="77777777" w:rsidR="00B16DFE" w:rsidRDefault="009F0859">
                        <w:pPr>
                          <w:spacing w:after="0" w:line="420" w:lineRule="atLeast"/>
                          <w:rPr>
                            <w:rFonts w:ascii="Arial" w:eastAsia="Arial" w:hAnsi="Arial" w:cs="Arial"/>
                            <w:b/>
                            <w:bCs/>
                            <w:color w:val="0052A4"/>
                            <w:sz w:val="27"/>
                            <w:szCs w:val="27"/>
                          </w:rPr>
                        </w:pPr>
                        <w:r>
                          <w:rPr>
                            <w:rFonts w:ascii="Arial" w:eastAsia="Arial" w:hAnsi="Arial" w:cs="Arial"/>
                            <w:b/>
                            <w:bCs/>
                            <w:color w:val="0052A4"/>
                            <w:sz w:val="27"/>
                            <w:szCs w:val="27"/>
                          </w:rPr>
                          <w:t xml:space="preserve">£27.5bn </w:t>
                        </w:r>
                      </w:p>
                      <w:p w14:paraId="1CB7D521" w14:textId="77777777" w:rsidR="00B16DFE" w:rsidRDefault="009F0859">
                        <w:pPr>
                          <w:spacing w:after="0" w:line="360" w:lineRule="auto"/>
                          <w:rPr>
                            <w:rFonts w:ascii="Arial" w:eastAsia="Arial" w:hAnsi="Arial" w:cs="Arial"/>
                            <w:color w:val="0052A4"/>
                            <w:sz w:val="15"/>
                            <w:szCs w:val="15"/>
                          </w:rPr>
                        </w:pPr>
                        <w:r>
                          <w:rPr>
                            <w:rFonts w:ascii="Arial" w:eastAsia="Arial" w:hAnsi="Arial" w:cs="Arial"/>
                            <w:color w:val="0052A4"/>
                            <w:sz w:val="15"/>
                            <w:szCs w:val="15"/>
                          </w:rPr>
                          <w:t>Revenue</w:t>
                        </w:r>
                      </w:p>
                    </w:tc>
                    <w:tc>
                      <w:tcPr>
                        <w:tcW w:w="2500" w:type="pct"/>
                        <w:vAlign w:val="center"/>
                      </w:tcPr>
                      <w:p w14:paraId="537802A4" w14:textId="77777777" w:rsidR="00B16DFE" w:rsidRDefault="00B16DFE"/>
                    </w:tc>
                  </w:tr>
                </w:tbl>
                <w:p w14:paraId="299962E3" w14:textId="77777777" w:rsidR="00B16DFE" w:rsidRDefault="00B16DFE">
                  <w:pPr>
                    <w:spacing w:after="0"/>
                    <w:rPr>
                      <w:vanish/>
                    </w:rPr>
                  </w:pPr>
                </w:p>
                <w:tbl>
                  <w:tblPr>
                    <w:tblW w:w="5000" w:type="pct"/>
                    <w:tblCellSpacing w:w="30" w:type="dxa"/>
                    <w:tblBorders>
                      <w:top w:val="nil"/>
                      <w:left w:val="nil"/>
                      <w:bottom w:val="nil"/>
                      <w:right w:val="nil"/>
                      <w:insideH w:val="nil"/>
                      <w:insideV w:val="nil"/>
                    </w:tblBorders>
                    <w:tblLook w:val="04A0" w:firstRow="1" w:lastRow="0" w:firstColumn="1" w:lastColumn="0" w:noHBand="0" w:noVBand="1"/>
                  </w:tblPr>
                  <w:tblGrid>
                    <w:gridCol w:w="1285"/>
                    <w:gridCol w:w="1256"/>
                    <w:gridCol w:w="2556"/>
                  </w:tblGrid>
                  <w:tr w:rsidR="00B16DFE" w14:paraId="1FB639A2" w14:textId="77777777">
                    <w:trPr>
                      <w:tblCellSpacing w:w="30" w:type="dxa"/>
                    </w:trPr>
                    <w:tc>
                      <w:tcPr>
                        <w:tcW w:w="1250" w:type="pct"/>
                      </w:tcPr>
                      <w:p w14:paraId="7C735994"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2016–2021</w:t>
                        </w:r>
                      </w:p>
                      <w:p w14:paraId="70408F07" w14:textId="77777777" w:rsidR="00B16DFE" w:rsidRDefault="009F0859">
                        <w:pPr>
                          <w:spacing w:after="0" w:line="336" w:lineRule="auto"/>
                          <w:rPr>
                            <w:rFonts w:ascii="Arial" w:eastAsia="Arial" w:hAnsi="Arial" w:cs="Arial"/>
                            <w:sz w:val="20"/>
                            <w:szCs w:val="20"/>
                          </w:rPr>
                        </w:pPr>
                        <w:r>
                          <w:rPr>
                            <w:rFonts w:ascii="Arial" w:eastAsia="Arial" w:hAnsi="Arial" w:cs="Arial"/>
                            <w:sz w:val="20"/>
                            <w:szCs w:val="20"/>
                          </w:rPr>
                          <w:t>-2.8%</w:t>
                        </w:r>
                      </w:p>
                    </w:tc>
                    <w:tc>
                      <w:tcPr>
                        <w:tcW w:w="1250" w:type="pct"/>
                      </w:tcPr>
                      <w:p w14:paraId="77BC00F1"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2021–2026</w:t>
                        </w:r>
                      </w:p>
                      <w:p w14:paraId="027D1212" w14:textId="77777777" w:rsidR="00B16DFE" w:rsidRDefault="009F0859">
                        <w:pPr>
                          <w:spacing w:after="0" w:line="336" w:lineRule="auto"/>
                          <w:rPr>
                            <w:rFonts w:ascii="Arial" w:eastAsia="Arial" w:hAnsi="Arial" w:cs="Arial"/>
                            <w:sz w:val="20"/>
                            <w:szCs w:val="20"/>
                          </w:rPr>
                        </w:pPr>
                        <w:r>
                          <w:rPr>
                            <w:rFonts w:ascii="Arial" w:eastAsia="Arial" w:hAnsi="Arial" w:cs="Arial"/>
                            <w:sz w:val="20"/>
                            <w:szCs w:val="20"/>
                          </w:rPr>
                          <w:t>4.8%</w:t>
                        </w:r>
                      </w:p>
                    </w:tc>
                    <w:tc>
                      <w:tcPr>
                        <w:tcW w:w="2500" w:type="pct"/>
                      </w:tcPr>
                      <w:p w14:paraId="132ADB0A"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2016–2026</w:t>
                        </w:r>
                      </w:p>
                      <w:p w14:paraId="6E21BF56" w14:textId="77777777" w:rsidR="00B16DFE" w:rsidRDefault="009F0859">
                        <w:pPr>
                          <w:spacing w:after="0" w:line="225" w:lineRule="atLeast"/>
                          <w:rPr>
                            <w:rFonts w:ascii="Arial" w:eastAsia="Arial" w:hAnsi="Arial" w:cs="Arial"/>
                            <w:sz w:val="16"/>
                            <w:szCs w:val="16"/>
                          </w:rPr>
                        </w:pPr>
                        <w:r>
                          <w:rPr>
                            <w:noProof/>
                          </w:rPr>
                          <w:drawing>
                            <wp:inline distT="0" distB="0" distL="0" distR="0" wp14:anchorId="49CE12AF" wp14:editId="01AFAEBA">
                              <wp:extent cx="1428750" cy="259773"/>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5" cstate="print"/>
                                      <a:stretch>
                                        <a:fillRect/>
                                      </a:stretch>
                                    </pic:blipFill>
                                    <pic:spPr>
                                      <a:xfrm>
                                        <a:off x="0" y="0"/>
                                        <a:ext cx="1428750" cy="259773"/>
                                      </a:xfrm>
                                      <a:prstGeom prst="rect">
                                        <a:avLst/>
                                      </a:prstGeom>
                                    </pic:spPr>
                                  </pic:pic>
                                </a:graphicData>
                              </a:graphic>
                            </wp:inline>
                          </w:drawing>
                        </w:r>
                      </w:p>
                    </w:tc>
                  </w:tr>
                </w:tbl>
                <w:p w14:paraId="2CCDCB34" w14:textId="77777777" w:rsidR="00B16DFE" w:rsidRDefault="009F0859">
                  <w:pPr>
                    <w:pBdr>
                      <w:top w:val="single" w:sz="9" w:space="0" w:color="D8DDEA"/>
                    </w:pBdr>
                    <w:spacing w:after="0" w:line="225" w:lineRule="atLeast"/>
                    <w:rPr>
                      <w:rFonts w:ascii="Arial" w:eastAsia="Arial" w:hAnsi="Arial" w:cs="Arial"/>
                      <w:sz w:val="16"/>
                      <w:szCs w:val="16"/>
                    </w:rPr>
                  </w:pPr>
                  <w:r>
                    <w:rPr>
                      <w:rFonts w:ascii="Arial" w:eastAsia="Arial" w:hAnsi="Arial" w:cs="Arial"/>
                      <w:sz w:val="16"/>
                      <w:szCs w:val="16"/>
                    </w:rPr>
                    <w:t> </w:t>
                  </w:r>
                </w:p>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876"/>
                    <w:gridCol w:w="2071"/>
                    <w:gridCol w:w="2150"/>
                  </w:tblGrid>
                  <w:tr w:rsidR="00B16DFE" w14:paraId="068098DC" w14:textId="77777777">
                    <w:trPr>
                      <w:tblCellSpacing w:w="30" w:type="dxa"/>
                    </w:trPr>
                    <w:tc>
                      <w:tcPr>
                        <w:tcW w:w="50" w:type="pct"/>
                        <w:vAlign w:val="center"/>
                      </w:tcPr>
                      <w:p w14:paraId="6DF94B13" w14:textId="77777777" w:rsidR="00B16DFE" w:rsidRDefault="009F0859">
                        <w:pPr>
                          <w:spacing w:after="0" w:line="225" w:lineRule="atLeast"/>
                          <w:rPr>
                            <w:rFonts w:ascii="Arial" w:eastAsia="Arial" w:hAnsi="Arial" w:cs="Arial"/>
                            <w:sz w:val="16"/>
                            <w:szCs w:val="16"/>
                          </w:rPr>
                        </w:pPr>
                        <w:r>
                          <w:rPr>
                            <w:noProof/>
                          </w:rPr>
                          <w:drawing>
                            <wp:inline distT="0" distB="0" distL="0" distR="0" wp14:anchorId="4BCEBF4E" wp14:editId="558DF3D8">
                              <wp:extent cx="361950" cy="352425"/>
                              <wp:effectExtent l="0" t="0" r="0" b="0"/>
                              <wp:docPr id="23" name="Picture 23" descr="Profit"/>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6" cstate="print"/>
                                      <a:stretch>
                                        <a:fillRect/>
                                      </a:stretch>
                                    </pic:blipFill>
                                    <pic:spPr>
                                      <a:xfrm>
                                        <a:off x="0" y="0"/>
                                        <a:ext cx="361950" cy="352425"/>
                                      </a:xfrm>
                                      <a:prstGeom prst="rect">
                                        <a:avLst/>
                                      </a:prstGeom>
                                    </pic:spPr>
                                  </pic:pic>
                                </a:graphicData>
                              </a:graphic>
                            </wp:inline>
                          </w:drawing>
                        </w:r>
                      </w:p>
                    </w:tc>
                    <w:tc>
                      <w:tcPr>
                        <w:tcW w:w="0" w:type="auto"/>
                        <w:vAlign w:val="center"/>
                      </w:tcPr>
                      <w:p w14:paraId="0FC21928" w14:textId="77777777" w:rsidR="00B16DFE" w:rsidRDefault="009F0859">
                        <w:pPr>
                          <w:spacing w:after="0" w:line="420" w:lineRule="atLeast"/>
                          <w:rPr>
                            <w:rFonts w:ascii="Arial" w:eastAsia="Arial" w:hAnsi="Arial" w:cs="Arial"/>
                            <w:b/>
                            <w:bCs/>
                            <w:color w:val="B8860B"/>
                            <w:sz w:val="27"/>
                            <w:szCs w:val="27"/>
                          </w:rPr>
                        </w:pPr>
                        <w:r>
                          <w:rPr>
                            <w:rFonts w:ascii="Arial" w:eastAsia="Arial" w:hAnsi="Arial" w:cs="Arial"/>
                            <w:b/>
                            <w:bCs/>
                            <w:color w:val="B8860B"/>
                            <w:sz w:val="27"/>
                            <w:szCs w:val="27"/>
                          </w:rPr>
                          <w:t xml:space="preserve">£522.2m </w:t>
                        </w:r>
                      </w:p>
                      <w:p w14:paraId="244BD3BF" w14:textId="77777777" w:rsidR="00B16DFE" w:rsidRDefault="009F0859">
                        <w:pPr>
                          <w:spacing w:after="0" w:line="360" w:lineRule="auto"/>
                          <w:rPr>
                            <w:rFonts w:ascii="Arial" w:eastAsia="Arial" w:hAnsi="Arial" w:cs="Arial"/>
                            <w:color w:val="B8860B"/>
                            <w:sz w:val="15"/>
                            <w:szCs w:val="15"/>
                          </w:rPr>
                        </w:pPr>
                        <w:r>
                          <w:rPr>
                            <w:rFonts w:ascii="Arial" w:eastAsia="Arial" w:hAnsi="Arial" w:cs="Arial"/>
                            <w:color w:val="B8860B"/>
                            <w:sz w:val="15"/>
                            <w:szCs w:val="15"/>
                          </w:rPr>
                          <w:t>Profit</w:t>
                        </w:r>
                      </w:p>
                    </w:tc>
                    <w:tc>
                      <w:tcPr>
                        <w:tcW w:w="2500" w:type="pct"/>
                        <w:vAlign w:val="center"/>
                      </w:tcPr>
                      <w:p w14:paraId="0C07136B" w14:textId="77777777" w:rsidR="00B16DFE" w:rsidRDefault="00B16DFE"/>
                    </w:tc>
                  </w:tr>
                </w:tbl>
                <w:p w14:paraId="0E74F11D" w14:textId="77777777" w:rsidR="00B16DFE" w:rsidRDefault="00B16DFE">
                  <w:pPr>
                    <w:spacing w:after="0"/>
                    <w:rPr>
                      <w:vanish/>
                    </w:rPr>
                  </w:pPr>
                </w:p>
                <w:tbl>
                  <w:tblPr>
                    <w:tblW w:w="5000" w:type="pct"/>
                    <w:tblCellSpacing w:w="30" w:type="dxa"/>
                    <w:tblBorders>
                      <w:top w:val="nil"/>
                      <w:left w:val="nil"/>
                      <w:bottom w:val="nil"/>
                      <w:right w:val="nil"/>
                      <w:insideH w:val="nil"/>
                      <w:insideV w:val="nil"/>
                    </w:tblBorders>
                    <w:tblLook w:val="04A0" w:firstRow="1" w:lastRow="0" w:firstColumn="1" w:lastColumn="0" w:noHBand="0" w:noVBand="1"/>
                  </w:tblPr>
                  <w:tblGrid>
                    <w:gridCol w:w="1285"/>
                    <w:gridCol w:w="1256"/>
                    <w:gridCol w:w="2556"/>
                  </w:tblGrid>
                  <w:tr w:rsidR="00B16DFE" w14:paraId="6419EED3" w14:textId="77777777">
                    <w:trPr>
                      <w:tblCellSpacing w:w="30" w:type="dxa"/>
                    </w:trPr>
                    <w:tc>
                      <w:tcPr>
                        <w:tcW w:w="1250" w:type="pct"/>
                      </w:tcPr>
                      <w:p w14:paraId="37529A10"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2016–2021</w:t>
                        </w:r>
                      </w:p>
                      <w:p w14:paraId="76ED17F3" w14:textId="77777777" w:rsidR="00B16DFE" w:rsidRDefault="009F0859">
                        <w:pPr>
                          <w:spacing w:after="0" w:line="336" w:lineRule="auto"/>
                          <w:rPr>
                            <w:rFonts w:ascii="Arial" w:eastAsia="Arial" w:hAnsi="Arial" w:cs="Arial"/>
                            <w:sz w:val="20"/>
                            <w:szCs w:val="20"/>
                          </w:rPr>
                        </w:pPr>
                        <w:r>
                          <w:rPr>
                            <w:rFonts w:ascii="Arial" w:eastAsia="Arial" w:hAnsi="Arial" w:cs="Arial"/>
                            <w:sz w:val="20"/>
                            <w:szCs w:val="20"/>
                          </w:rPr>
                          <w:t>-22.5%</w:t>
                        </w:r>
                      </w:p>
                    </w:tc>
                    <w:tc>
                      <w:tcPr>
                        <w:tcW w:w="1250" w:type="pct"/>
                      </w:tcPr>
                      <w:p w14:paraId="00BCB1B4"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tcPr>
                      <w:p w14:paraId="61F9F392"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2016–2021</w:t>
                        </w:r>
                      </w:p>
                      <w:p w14:paraId="4D02162F" w14:textId="77777777" w:rsidR="00B16DFE" w:rsidRDefault="009F0859">
                        <w:pPr>
                          <w:spacing w:after="0" w:line="225" w:lineRule="atLeast"/>
                          <w:rPr>
                            <w:rFonts w:ascii="Arial" w:eastAsia="Arial" w:hAnsi="Arial" w:cs="Arial"/>
                            <w:sz w:val="16"/>
                            <w:szCs w:val="16"/>
                          </w:rPr>
                        </w:pPr>
                        <w:r>
                          <w:rPr>
                            <w:noProof/>
                          </w:rPr>
                          <w:drawing>
                            <wp:inline distT="0" distB="0" distL="0" distR="0" wp14:anchorId="41D09483" wp14:editId="79DE46C5">
                              <wp:extent cx="1428750" cy="259773"/>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7" cstate="print"/>
                                      <a:stretch>
                                        <a:fillRect/>
                                      </a:stretch>
                                    </pic:blipFill>
                                    <pic:spPr>
                                      <a:xfrm>
                                        <a:off x="0" y="0"/>
                                        <a:ext cx="1428750" cy="259773"/>
                                      </a:xfrm>
                                      <a:prstGeom prst="rect">
                                        <a:avLst/>
                                      </a:prstGeom>
                                    </pic:spPr>
                                  </pic:pic>
                                </a:graphicData>
                              </a:graphic>
                            </wp:inline>
                          </w:drawing>
                        </w:r>
                      </w:p>
                    </w:tc>
                  </w:tr>
                </w:tbl>
                <w:p w14:paraId="51EC081E" w14:textId="77777777" w:rsidR="00B16DFE" w:rsidRDefault="009F0859">
                  <w:pPr>
                    <w:pBdr>
                      <w:top w:val="single" w:sz="9" w:space="0" w:color="D8DDEA"/>
                    </w:pBdr>
                    <w:spacing w:after="0" w:line="225" w:lineRule="atLeast"/>
                    <w:rPr>
                      <w:rFonts w:ascii="Arial" w:eastAsia="Arial" w:hAnsi="Arial" w:cs="Arial"/>
                      <w:sz w:val="16"/>
                      <w:szCs w:val="16"/>
                    </w:rPr>
                  </w:pPr>
                  <w:r>
                    <w:rPr>
                      <w:rFonts w:ascii="Arial" w:eastAsia="Arial" w:hAnsi="Arial" w:cs="Arial"/>
                      <w:sz w:val="16"/>
                      <w:szCs w:val="16"/>
                    </w:rPr>
                    <w:t> </w:t>
                  </w:r>
                </w:p>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876"/>
                    <w:gridCol w:w="2071"/>
                    <w:gridCol w:w="2150"/>
                  </w:tblGrid>
                  <w:tr w:rsidR="00B16DFE" w14:paraId="482DA9A8" w14:textId="77777777">
                    <w:trPr>
                      <w:tblCellSpacing w:w="30" w:type="dxa"/>
                    </w:trPr>
                    <w:tc>
                      <w:tcPr>
                        <w:tcW w:w="50" w:type="pct"/>
                        <w:vAlign w:val="center"/>
                      </w:tcPr>
                      <w:p w14:paraId="67003D37" w14:textId="77777777" w:rsidR="00B16DFE" w:rsidRDefault="009F0859">
                        <w:pPr>
                          <w:spacing w:after="0" w:line="225" w:lineRule="atLeast"/>
                          <w:rPr>
                            <w:rFonts w:ascii="Arial" w:eastAsia="Arial" w:hAnsi="Arial" w:cs="Arial"/>
                            <w:sz w:val="16"/>
                            <w:szCs w:val="16"/>
                          </w:rPr>
                        </w:pPr>
                        <w:r>
                          <w:rPr>
                            <w:noProof/>
                          </w:rPr>
                          <w:drawing>
                            <wp:inline distT="0" distB="0" distL="0" distR="0" wp14:anchorId="5F4DE3F5" wp14:editId="4A2F1987">
                              <wp:extent cx="361950" cy="352425"/>
                              <wp:effectExtent l="0" t="0" r="0" b="0"/>
                              <wp:docPr id="27" name="Picture 27" descr="Profit Margin"/>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8" cstate="print"/>
                                      <a:stretch>
                                        <a:fillRect/>
                                      </a:stretch>
                                    </pic:blipFill>
                                    <pic:spPr>
                                      <a:xfrm>
                                        <a:off x="0" y="0"/>
                                        <a:ext cx="361950" cy="352425"/>
                                      </a:xfrm>
                                      <a:prstGeom prst="rect">
                                        <a:avLst/>
                                      </a:prstGeom>
                                    </pic:spPr>
                                  </pic:pic>
                                </a:graphicData>
                              </a:graphic>
                            </wp:inline>
                          </w:drawing>
                        </w:r>
                      </w:p>
                    </w:tc>
                    <w:tc>
                      <w:tcPr>
                        <w:tcW w:w="0" w:type="auto"/>
                        <w:vAlign w:val="center"/>
                      </w:tcPr>
                      <w:p w14:paraId="0F394A6A" w14:textId="77777777" w:rsidR="00B16DFE" w:rsidRDefault="009F0859">
                        <w:pPr>
                          <w:spacing w:after="0" w:line="420" w:lineRule="atLeast"/>
                          <w:rPr>
                            <w:rFonts w:ascii="Arial" w:eastAsia="Arial" w:hAnsi="Arial" w:cs="Arial"/>
                            <w:b/>
                            <w:bCs/>
                            <w:color w:val="87004F"/>
                            <w:sz w:val="27"/>
                            <w:szCs w:val="27"/>
                          </w:rPr>
                        </w:pPr>
                        <w:r>
                          <w:rPr>
                            <w:rFonts w:ascii="Arial" w:eastAsia="Arial" w:hAnsi="Arial" w:cs="Arial"/>
                            <w:b/>
                            <w:bCs/>
                            <w:color w:val="87004F"/>
                            <w:sz w:val="27"/>
                            <w:szCs w:val="27"/>
                          </w:rPr>
                          <w:t xml:space="preserve">1.9% </w:t>
                        </w:r>
                      </w:p>
                      <w:p w14:paraId="23E87969" w14:textId="77777777" w:rsidR="00B16DFE" w:rsidRDefault="009F0859">
                        <w:pPr>
                          <w:spacing w:after="0" w:line="360" w:lineRule="auto"/>
                          <w:rPr>
                            <w:rFonts w:ascii="Arial" w:eastAsia="Arial" w:hAnsi="Arial" w:cs="Arial"/>
                            <w:color w:val="87004F"/>
                            <w:sz w:val="15"/>
                            <w:szCs w:val="15"/>
                          </w:rPr>
                        </w:pPr>
                        <w:r>
                          <w:rPr>
                            <w:rFonts w:ascii="Arial" w:eastAsia="Arial" w:hAnsi="Arial" w:cs="Arial"/>
                            <w:color w:val="87004F"/>
                            <w:sz w:val="15"/>
                            <w:szCs w:val="15"/>
                          </w:rPr>
                          <w:t>Profit Margin</w:t>
                        </w:r>
                      </w:p>
                    </w:tc>
                    <w:tc>
                      <w:tcPr>
                        <w:tcW w:w="2500" w:type="pct"/>
                        <w:vAlign w:val="center"/>
                      </w:tcPr>
                      <w:p w14:paraId="28866DC3" w14:textId="77777777" w:rsidR="00B16DFE" w:rsidRDefault="00B16DFE"/>
                    </w:tc>
                  </w:tr>
                </w:tbl>
                <w:p w14:paraId="1AD26761" w14:textId="77777777" w:rsidR="00B16DFE" w:rsidRDefault="00B16DFE">
                  <w:pPr>
                    <w:spacing w:after="0"/>
                    <w:rPr>
                      <w:vanish/>
                    </w:rPr>
                  </w:pPr>
                </w:p>
                <w:tbl>
                  <w:tblPr>
                    <w:tblW w:w="5000" w:type="pct"/>
                    <w:tblCellSpacing w:w="30" w:type="dxa"/>
                    <w:tblBorders>
                      <w:top w:val="nil"/>
                      <w:left w:val="nil"/>
                      <w:bottom w:val="nil"/>
                      <w:right w:val="nil"/>
                      <w:insideH w:val="nil"/>
                      <w:insideV w:val="nil"/>
                    </w:tblBorders>
                    <w:tblLook w:val="04A0" w:firstRow="1" w:lastRow="0" w:firstColumn="1" w:lastColumn="0" w:noHBand="0" w:noVBand="1"/>
                  </w:tblPr>
                  <w:tblGrid>
                    <w:gridCol w:w="1285"/>
                    <w:gridCol w:w="1256"/>
                    <w:gridCol w:w="2556"/>
                  </w:tblGrid>
                  <w:tr w:rsidR="00B16DFE" w14:paraId="2802B7E8" w14:textId="77777777">
                    <w:trPr>
                      <w:tblCellSpacing w:w="30" w:type="dxa"/>
                    </w:trPr>
                    <w:tc>
                      <w:tcPr>
                        <w:tcW w:w="1250" w:type="pct"/>
                      </w:tcPr>
                      <w:p w14:paraId="14D4A372"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2016–2021</w:t>
                        </w:r>
                      </w:p>
                      <w:p w14:paraId="3C8F1086" w14:textId="77777777" w:rsidR="00B16DFE" w:rsidRDefault="009F0859">
                        <w:pPr>
                          <w:spacing w:after="0" w:line="336" w:lineRule="auto"/>
                          <w:rPr>
                            <w:rFonts w:ascii="Arial" w:eastAsia="Arial" w:hAnsi="Arial" w:cs="Arial"/>
                            <w:sz w:val="20"/>
                            <w:szCs w:val="20"/>
                          </w:rPr>
                        </w:pPr>
                        <w:r>
                          <w:rPr>
                            <w:rFonts w:ascii="Arial" w:eastAsia="Arial" w:hAnsi="Arial" w:cs="Arial"/>
                            <w:sz w:val="20"/>
                            <w:szCs w:val="20"/>
                          </w:rPr>
                          <w:t>-4.0pp</w:t>
                        </w:r>
                      </w:p>
                    </w:tc>
                    <w:tc>
                      <w:tcPr>
                        <w:tcW w:w="1250" w:type="pct"/>
                      </w:tcPr>
                      <w:p w14:paraId="5779C2CA"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tcPr>
                      <w:p w14:paraId="75329E9D"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2016–2021</w:t>
                        </w:r>
                      </w:p>
                      <w:p w14:paraId="31FBE812" w14:textId="77777777" w:rsidR="00B16DFE" w:rsidRDefault="009F0859">
                        <w:pPr>
                          <w:spacing w:after="0" w:line="225" w:lineRule="atLeast"/>
                          <w:rPr>
                            <w:rFonts w:ascii="Arial" w:eastAsia="Arial" w:hAnsi="Arial" w:cs="Arial"/>
                            <w:sz w:val="16"/>
                            <w:szCs w:val="16"/>
                          </w:rPr>
                        </w:pPr>
                        <w:r>
                          <w:rPr>
                            <w:noProof/>
                          </w:rPr>
                          <w:drawing>
                            <wp:inline distT="0" distB="0" distL="0" distR="0" wp14:anchorId="0BF31CA0" wp14:editId="089DCBAB">
                              <wp:extent cx="1428750" cy="259773"/>
                              <wp:effectExtent l="0" t="0" r="0" b="0"/>
                              <wp:docPr id="29" name="Picture 29"/>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9" cstate="print"/>
                                      <a:stretch>
                                        <a:fillRect/>
                                      </a:stretch>
                                    </pic:blipFill>
                                    <pic:spPr>
                                      <a:xfrm>
                                        <a:off x="0" y="0"/>
                                        <a:ext cx="1428750" cy="259773"/>
                                      </a:xfrm>
                                      <a:prstGeom prst="rect">
                                        <a:avLst/>
                                      </a:prstGeom>
                                    </pic:spPr>
                                  </pic:pic>
                                </a:graphicData>
                              </a:graphic>
                            </wp:inline>
                          </w:drawing>
                        </w:r>
                      </w:p>
                    </w:tc>
                  </w:tr>
                </w:tbl>
                <w:p w14:paraId="0B56100F" w14:textId="77777777" w:rsidR="00B16DFE" w:rsidRDefault="009F0859">
                  <w:pPr>
                    <w:pBdr>
                      <w:top w:val="single" w:sz="9" w:space="0" w:color="D8DDEA"/>
                    </w:pBdr>
                    <w:spacing w:after="0" w:line="225" w:lineRule="atLeast"/>
                    <w:rPr>
                      <w:rFonts w:ascii="Arial" w:eastAsia="Arial" w:hAnsi="Arial" w:cs="Arial"/>
                      <w:sz w:val="16"/>
                      <w:szCs w:val="16"/>
                    </w:rPr>
                  </w:pPr>
                  <w:r>
                    <w:rPr>
                      <w:rFonts w:ascii="Arial" w:eastAsia="Arial" w:hAnsi="Arial" w:cs="Arial"/>
                      <w:sz w:val="16"/>
                      <w:szCs w:val="16"/>
                    </w:rPr>
                    <w:t> </w:t>
                  </w:r>
                </w:p>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876"/>
                    <w:gridCol w:w="2071"/>
                    <w:gridCol w:w="2150"/>
                  </w:tblGrid>
                  <w:tr w:rsidR="00B16DFE" w14:paraId="50405B2C" w14:textId="77777777">
                    <w:trPr>
                      <w:tblCellSpacing w:w="30" w:type="dxa"/>
                    </w:trPr>
                    <w:tc>
                      <w:tcPr>
                        <w:tcW w:w="50" w:type="pct"/>
                        <w:vAlign w:val="center"/>
                      </w:tcPr>
                      <w:p w14:paraId="7FB2BB94" w14:textId="77777777" w:rsidR="00B16DFE" w:rsidRDefault="009F0859">
                        <w:pPr>
                          <w:spacing w:after="0" w:line="225" w:lineRule="atLeast"/>
                          <w:rPr>
                            <w:rFonts w:ascii="Arial" w:eastAsia="Arial" w:hAnsi="Arial" w:cs="Arial"/>
                            <w:sz w:val="16"/>
                            <w:szCs w:val="16"/>
                          </w:rPr>
                        </w:pPr>
                        <w:r>
                          <w:rPr>
                            <w:noProof/>
                          </w:rPr>
                          <w:drawing>
                            <wp:inline distT="0" distB="0" distL="0" distR="0" wp14:anchorId="289B12AC" wp14:editId="6028291F">
                              <wp:extent cx="361950" cy="352425"/>
                              <wp:effectExtent l="0" t="0" r="0" b="0"/>
                              <wp:docPr id="31" name="Picture 31" descr="Businesses"/>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0" cstate="print"/>
                                      <a:stretch>
                                        <a:fillRect/>
                                      </a:stretch>
                                    </pic:blipFill>
                                    <pic:spPr>
                                      <a:xfrm>
                                        <a:off x="0" y="0"/>
                                        <a:ext cx="361950" cy="352425"/>
                                      </a:xfrm>
                                      <a:prstGeom prst="rect">
                                        <a:avLst/>
                                      </a:prstGeom>
                                    </pic:spPr>
                                  </pic:pic>
                                </a:graphicData>
                              </a:graphic>
                            </wp:inline>
                          </w:drawing>
                        </w:r>
                      </w:p>
                    </w:tc>
                    <w:tc>
                      <w:tcPr>
                        <w:tcW w:w="0" w:type="auto"/>
                        <w:vAlign w:val="center"/>
                      </w:tcPr>
                      <w:p w14:paraId="06D31C72" w14:textId="77777777" w:rsidR="00B16DFE" w:rsidRDefault="009F0859">
                        <w:pPr>
                          <w:spacing w:after="0" w:line="420" w:lineRule="atLeast"/>
                          <w:rPr>
                            <w:rFonts w:ascii="Arial" w:eastAsia="Arial" w:hAnsi="Arial" w:cs="Arial"/>
                            <w:b/>
                            <w:bCs/>
                            <w:color w:val="B40F4C"/>
                            <w:sz w:val="27"/>
                            <w:szCs w:val="27"/>
                          </w:rPr>
                        </w:pPr>
                        <w:r>
                          <w:rPr>
                            <w:rFonts w:ascii="Arial" w:eastAsia="Arial" w:hAnsi="Arial" w:cs="Arial"/>
                            <w:b/>
                            <w:bCs/>
                            <w:color w:val="B40F4C"/>
                            <w:sz w:val="27"/>
                            <w:szCs w:val="27"/>
                          </w:rPr>
                          <w:t xml:space="preserve">4,407 </w:t>
                        </w:r>
                      </w:p>
                      <w:p w14:paraId="6BF708AB" w14:textId="77777777" w:rsidR="00B16DFE" w:rsidRDefault="009F0859">
                        <w:pPr>
                          <w:spacing w:after="0" w:line="360" w:lineRule="auto"/>
                          <w:rPr>
                            <w:rFonts w:ascii="Arial" w:eastAsia="Arial" w:hAnsi="Arial" w:cs="Arial"/>
                            <w:color w:val="B40F4C"/>
                            <w:sz w:val="15"/>
                            <w:szCs w:val="15"/>
                          </w:rPr>
                        </w:pPr>
                        <w:r>
                          <w:rPr>
                            <w:rFonts w:ascii="Arial" w:eastAsia="Arial" w:hAnsi="Arial" w:cs="Arial"/>
                            <w:color w:val="B40F4C"/>
                            <w:sz w:val="15"/>
                            <w:szCs w:val="15"/>
                          </w:rPr>
                          <w:t>Businesses</w:t>
                        </w:r>
                      </w:p>
                    </w:tc>
                    <w:tc>
                      <w:tcPr>
                        <w:tcW w:w="2500" w:type="pct"/>
                        <w:vAlign w:val="center"/>
                      </w:tcPr>
                      <w:p w14:paraId="7F147E5B" w14:textId="77777777" w:rsidR="00B16DFE" w:rsidRDefault="00B16DFE"/>
                    </w:tc>
                  </w:tr>
                </w:tbl>
                <w:p w14:paraId="4FF69966" w14:textId="77777777" w:rsidR="00B16DFE" w:rsidRDefault="00B16DFE">
                  <w:pPr>
                    <w:spacing w:after="0"/>
                    <w:rPr>
                      <w:vanish/>
                    </w:rPr>
                  </w:pPr>
                </w:p>
                <w:tbl>
                  <w:tblPr>
                    <w:tblW w:w="5000" w:type="pct"/>
                    <w:tblCellSpacing w:w="30" w:type="dxa"/>
                    <w:tblBorders>
                      <w:top w:val="nil"/>
                      <w:left w:val="nil"/>
                      <w:bottom w:val="nil"/>
                      <w:right w:val="nil"/>
                      <w:insideH w:val="nil"/>
                      <w:insideV w:val="nil"/>
                    </w:tblBorders>
                    <w:tblLook w:val="04A0" w:firstRow="1" w:lastRow="0" w:firstColumn="1" w:lastColumn="0" w:noHBand="0" w:noVBand="1"/>
                  </w:tblPr>
                  <w:tblGrid>
                    <w:gridCol w:w="1285"/>
                    <w:gridCol w:w="1256"/>
                    <w:gridCol w:w="2556"/>
                  </w:tblGrid>
                  <w:tr w:rsidR="00B16DFE" w14:paraId="5B7F6A7E" w14:textId="77777777">
                    <w:trPr>
                      <w:tblCellSpacing w:w="30" w:type="dxa"/>
                    </w:trPr>
                    <w:tc>
                      <w:tcPr>
                        <w:tcW w:w="1250" w:type="pct"/>
                      </w:tcPr>
                      <w:p w14:paraId="4267C5E8"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2016–2021</w:t>
                        </w:r>
                      </w:p>
                      <w:p w14:paraId="222025AE" w14:textId="77777777" w:rsidR="00B16DFE" w:rsidRDefault="009F0859">
                        <w:pPr>
                          <w:spacing w:after="0" w:line="336" w:lineRule="auto"/>
                          <w:rPr>
                            <w:rFonts w:ascii="Arial" w:eastAsia="Arial" w:hAnsi="Arial" w:cs="Arial"/>
                            <w:sz w:val="20"/>
                            <w:szCs w:val="20"/>
                          </w:rPr>
                        </w:pPr>
                        <w:r>
                          <w:rPr>
                            <w:rFonts w:ascii="Arial" w:eastAsia="Arial" w:hAnsi="Arial" w:cs="Arial"/>
                            <w:sz w:val="20"/>
                            <w:szCs w:val="20"/>
                          </w:rPr>
                          <w:t>0.0%</w:t>
                        </w:r>
                      </w:p>
                    </w:tc>
                    <w:tc>
                      <w:tcPr>
                        <w:tcW w:w="1250" w:type="pct"/>
                      </w:tcPr>
                      <w:p w14:paraId="46525A3B"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2021–2026</w:t>
                        </w:r>
                      </w:p>
                      <w:p w14:paraId="605C50FD" w14:textId="77777777" w:rsidR="00B16DFE" w:rsidRDefault="009F0859">
                        <w:pPr>
                          <w:spacing w:after="0" w:line="336" w:lineRule="auto"/>
                          <w:rPr>
                            <w:rFonts w:ascii="Arial" w:eastAsia="Arial" w:hAnsi="Arial" w:cs="Arial"/>
                            <w:sz w:val="20"/>
                            <w:szCs w:val="20"/>
                          </w:rPr>
                        </w:pPr>
                        <w:r>
                          <w:rPr>
                            <w:rFonts w:ascii="Arial" w:eastAsia="Arial" w:hAnsi="Arial" w:cs="Arial"/>
                            <w:sz w:val="20"/>
                            <w:szCs w:val="20"/>
                          </w:rPr>
                          <w:t>1.9%</w:t>
                        </w:r>
                      </w:p>
                    </w:tc>
                    <w:tc>
                      <w:tcPr>
                        <w:tcW w:w="2500" w:type="pct"/>
                      </w:tcPr>
                      <w:p w14:paraId="509BE5A8"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2016–2026</w:t>
                        </w:r>
                      </w:p>
                      <w:p w14:paraId="07C63F84" w14:textId="77777777" w:rsidR="00B16DFE" w:rsidRDefault="009F0859">
                        <w:pPr>
                          <w:spacing w:after="0" w:line="225" w:lineRule="atLeast"/>
                          <w:rPr>
                            <w:rFonts w:ascii="Arial" w:eastAsia="Arial" w:hAnsi="Arial" w:cs="Arial"/>
                            <w:sz w:val="16"/>
                            <w:szCs w:val="16"/>
                          </w:rPr>
                        </w:pPr>
                        <w:r>
                          <w:rPr>
                            <w:noProof/>
                          </w:rPr>
                          <w:drawing>
                            <wp:inline distT="0" distB="0" distL="0" distR="0" wp14:anchorId="7FBE85E4" wp14:editId="4B2370CA">
                              <wp:extent cx="1428750" cy="259773"/>
                              <wp:effectExtent l="0" t="0" r="0" b="0"/>
                              <wp:docPr id="33" name="Picture 33"/>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1" cstate="print"/>
                                      <a:stretch>
                                        <a:fillRect/>
                                      </a:stretch>
                                    </pic:blipFill>
                                    <pic:spPr>
                                      <a:xfrm>
                                        <a:off x="0" y="0"/>
                                        <a:ext cx="1428750" cy="259773"/>
                                      </a:xfrm>
                                      <a:prstGeom prst="rect">
                                        <a:avLst/>
                                      </a:prstGeom>
                                    </pic:spPr>
                                  </pic:pic>
                                </a:graphicData>
                              </a:graphic>
                            </wp:inline>
                          </w:drawing>
                        </w:r>
                      </w:p>
                    </w:tc>
                  </w:tr>
                </w:tbl>
                <w:p w14:paraId="42253ED0" w14:textId="77777777" w:rsidR="00B16DFE" w:rsidRDefault="009F0859">
                  <w:pPr>
                    <w:pBdr>
                      <w:top w:val="single" w:sz="9" w:space="0" w:color="D8DDEA"/>
                    </w:pBdr>
                    <w:spacing w:after="0" w:line="225" w:lineRule="atLeast"/>
                    <w:rPr>
                      <w:rFonts w:ascii="Arial" w:eastAsia="Arial" w:hAnsi="Arial" w:cs="Arial"/>
                      <w:sz w:val="16"/>
                      <w:szCs w:val="16"/>
                    </w:rPr>
                  </w:pPr>
                  <w:r>
                    <w:rPr>
                      <w:rFonts w:ascii="Arial" w:eastAsia="Arial" w:hAnsi="Arial" w:cs="Arial"/>
                      <w:sz w:val="16"/>
                      <w:szCs w:val="16"/>
                    </w:rPr>
                    <w:t> </w:t>
                  </w:r>
                </w:p>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876"/>
                    <w:gridCol w:w="2071"/>
                    <w:gridCol w:w="2150"/>
                  </w:tblGrid>
                  <w:tr w:rsidR="00B16DFE" w14:paraId="372F79DB" w14:textId="77777777">
                    <w:trPr>
                      <w:tblCellSpacing w:w="30" w:type="dxa"/>
                    </w:trPr>
                    <w:tc>
                      <w:tcPr>
                        <w:tcW w:w="50" w:type="pct"/>
                        <w:vAlign w:val="center"/>
                      </w:tcPr>
                      <w:p w14:paraId="29E77FA4" w14:textId="77777777" w:rsidR="00B16DFE" w:rsidRDefault="009F0859">
                        <w:pPr>
                          <w:spacing w:after="0" w:line="225" w:lineRule="atLeast"/>
                          <w:rPr>
                            <w:rFonts w:ascii="Arial" w:eastAsia="Arial" w:hAnsi="Arial" w:cs="Arial"/>
                            <w:sz w:val="16"/>
                            <w:szCs w:val="16"/>
                          </w:rPr>
                        </w:pPr>
                        <w:r>
                          <w:rPr>
                            <w:noProof/>
                          </w:rPr>
                          <w:drawing>
                            <wp:inline distT="0" distB="0" distL="0" distR="0" wp14:anchorId="29AAE40E" wp14:editId="1BFBAB6E">
                              <wp:extent cx="361950" cy="352425"/>
                              <wp:effectExtent l="0" t="0" r="0" b="0"/>
                              <wp:docPr id="35" name="Picture 35" descr="Employment"/>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2" cstate="print"/>
                                      <a:stretch>
                                        <a:fillRect/>
                                      </a:stretch>
                                    </pic:blipFill>
                                    <pic:spPr>
                                      <a:xfrm>
                                        <a:off x="0" y="0"/>
                                        <a:ext cx="361950" cy="352425"/>
                                      </a:xfrm>
                                      <a:prstGeom prst="rect">
                                        <a:avLst/>
                                      </a:prstGeom>
                                    </pic:spPr>
                                  </pic:pic>
                                </a:graphicData>
                              </a:graphic>
                            </wp:inline>
                          </w:drawing>
                        </w:r>
                      </w:p>
                    </w:tc>
                    <w:tc>
                      <w:tcPr>
                        <w:tcW w:w="0" w:type="auto"/>
                        <w:vAlign w:val="center"/>
                      </w:tcPr>
                      <w:p w14:paraId="31187465" w14:textId="77777777" w:rsidR="00B16DFE" w:rsidRDefault="009F0859">
                        <w:pPr>
                          <w:spacing w:after="0" w:line="420" w:lineRule="atLeast"/>
                          <w:rPr>
                            <w:rFonts w:ascii="Arial" w:eastAsia="Arial" w:hAnsi="Arial" w:cs="Arial"/>
                            <w:b/>
                            <w:bCs/>
                            <w:color w:val="DD5F0C"/>
                            <w:sz w:val="27"/>
                            <w:szCs w:val="27"/>
                          </w:rPr>
                        </w:pPr>
                        <w:r>
                          <w:rPr>
                            <w:rFonts w:ascii="Arial" w:eastAsia="Arial" w:hAnsi="Arial" w:cs="Arial"/>
                            <w:b/>
                            <w:bCs/>
                            <w:color w:val="DD5F0C"/>
                            <w:sz w:val="27"/>
                            <w:szCs w:val="27"/>
                          </w:rPr>
                          <w:t xml:space="preserve">52,481 </w:t>
                        </w:r>
                      </w:p>
                      <w:p w14:paraId="12361AEA" w14:textId="77777777" w:rsidR="00B16DFE" w:rsidRDefault="009F0859">
                        <w:pPr>
                          <w:spacing w:after="0" w:line="360" w:lineRule="auto"/>
                          <w:rPr>
                            <w:rFonts w:ascii="Arial" w:eastAsia="Arial" w:hAnsi="Arial" w:cs="Arial"/>
                            <w:color w:val="DD5F0C"/>
                            <w:sz w:val="15"/>
                            <w:szCs w:val="15"/>
                          </w:rPr>
                        </w:pPr>
                        <w:r>
                          <w:rPr>
                            <w:rFonts w:ascii="Arial" w:eastAsia="Arial" w:hAnsi="Arial" w:cs="Arial"/>
                            <w:color w:val="DD5F0C"/>
                            <w:sz w:val="15"/>
                            <w:szCs w:val="15"/>
                          </w:rPr>
                          <w:t>Employment</w:t>
                        </w:r>
                      </w:p>
                    </w:tc>
                    <w:tc>
                      <w:tcPr>
                        <w:tcW w:w="2500" w:type="pct"/>
                        <w:vAlign w:val="center"/>
                      </w:tcPr>
                      <w:p w14:paraId="40B33CC7" w14:textId="77777777" w:rsidR="00B16DFE" w:rsidRDefault="00B16DFE"/>
                    </w:tc>
                  </w:tr>
                </w:tbl>
                <w:p w14:paraId="33629F0D" w14:textId="77777777" w:rsidR="00B16DFE" w:rsidRDefault="00B16DFE">
                  <w:pPr>
                    <w:spacing w:after="0"/>
                    <w:rPr>
                      <w:vanish/>
                    </w:rPr>
                  </w:pPr>
                </w:p>
                <w:tbl>
                  <w:tblPr>
                    <w:tblW w:w="5000" w:type="pct"/>
                    <w:tblCellSpacing w:w="30" w:type="dxa"/>
                    <w:tblBorders>
                      <w:top w:val="nil"/>
                      <w:left w:val="nil"/>
                      <w:bottom w:val="nil"/>
                      <w:right w:val="nil"/>
                      <w:insideH w:val="nil"/>
                      <w:insideV w:val="nil"/>
                    </w:tblBorders>
                    <w:tblLook w:val="04A0" w:firstRow="1" w:lastRow="0" w:firstColumn="1" w:lastColumn="0" w:noHBand="0" w:noVBand="1"/>
                  </w:tblPr>
                  <w:tblGrid>
                    <w:gridCol w:w="1285"/>
                    <w:gridCol w:w="1256"/>
                    <w:gridCol w:w="2556"/>
                  </w:tblGrid>
                  <w:tr w:rsidR="00B16DFE" w14:paraId="426CA728" w14:textId="77777777">
                    <w:trPr>
                      <w:tblCellSpacing w:w="30" w:type="dxa"/>
                    </w:trPr>
                    <w:tc>
                      <w:tcPr>
                        <w:tcW w:w="1250" w:type="pct"/>
                      </w:tcPr>
                      <w:p w14:paraId="697C7D0D"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2016–2021</w:t>
                        </w:r>
                      </w:p>
                      <w:p w14:paraId="67D658ED" w14:textId="77777777" w:rsidR="00B16DFE" w:rsidRDefault="009F0859">
                        <w:pPr>
                          <w:spacing w:after="0" w:line="336" w:lineRule="auto"/>
                          <w:rPr>
                            <w:rFonts w:ascii="Arial" w:eastAsia="Arial" w:hAnsi="Arial" w:cs="Arial"/>
                            <w:sz w:val="20"/>
                            <w:szCs w:val="20"/>
                          </w:rPr>
                        </w:pPr>
                        <w:r>
                          <w:rPr>
                            <w:rFonts w:ascii="Arial" w:eastAsia="Arial" w:hAnsi="Arial" w:cs="Arial"/>
                            <w:sz w:val="20"/>
                            <w:szCs w:val="20"/>
                          </w:rPr>
                          <w:t>-1.6%</w:t>
                        </w:r>
                      </w:p>
                    </w:tc>
                    <w:tc>
                      <w:tcPr>
                        <w:tcW w:w="1250" w:type="pct"/>
                      </w:tcPr>
                      <w:p w14:paraId="251E69F2"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2021–2026</w:t>
                        </w:r>
                      </w:p>
                      <w:p w14:paraId="1AD32755" w14:textId="77777777" w:rsidR="00B16DFE" w:rsidRDefault="009F0859">
                        <w:pPr>
                          <w:spacing w:after="0" w:line="336" w:lineRule="auto"/>
                          <w:rPr>
                            <w:rFonts w:ascii="Arial" w:eastAsia="Arial" w:hAnsi="Arial" w:cs="Arial"/>
                            <w:sz w:val="20"/>
                            <w:szCs w:val="20"/>
                          </w:rPr>
                        </w:pPr>
                        <w:r>
                          <w:rPr>
                            <w:rFonts w:ascii="Arial" w:eastAsia="Arial" w:hAnsi="Arial" w:cs="Arial"/>
                            <w:sz w:val="20"/>
                            <w:szCs w:val="20"/>
                          </w:rPr>
                          <w:t>2.4%</w:t>
                        </w:r>
                      </w:p>
                    </w:tc>
                    <w:tc>
                      <w:tcPr>
                        <w:tcW w:w="2500" w:type="pct"/>
                      </w:tcPr>
                      <w:p w14:paraId="3198A71F"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2016–2026</w:t>
                        </w:r>
                      </w:p>
                      <w:p w14:paraId="48500F6D" w14:textId="77777777" w:rsidR="00B16DFE" w:rsidRDefault="009F0859">
                        <w:pPr>
                          <w:spacing w:after="0" w:line="225" w:lineRule="atLeast"/>
                          <w:rPr>
                            <w:rFonts w:ascii="Arial" w:eastAsia="Arial" w:hAnsi="Arial" w:cs="Arial"/>
                            <w:sz w:val="16"/>
                            <w:szCs w:val="16"/>
                          </w:rPr>
                        </w:pPr>
                        <w:r>
                          <w:rPr>
                            <w:noProof/>
                          </w:rPr>
                          <w:drawing>
                            <wp:inline distT="0" distB="0" distL="0" distR="0" wp14:anchorId="20EC533C" wp14:editId="2541E816">
                              <wp:extent cx="1428750" cy="259773"/>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3" cstate="print"/>
                                      <a:stretch>
                                        <a:fillRect/>
                                      </a:stretch>
                                    </pic:blipFill>
                                    <pic:spPr>
                                      <a:xfrm>
                                        <a:off x="0" y="0"/>
                                        <a:ext cx="1428750" cy="259773"/>
                                      </a:xfrm>
                                      <a:prstGeom prst="rect">
                                        <a:avLst/>
                                      </a:prstGeom>
                                    </pic:spPr>
                                  </pic:pic>
                                </a:graphicData>
                              </a:graphic>
                            </wp:inline>
                          </w:drawing>
                        </w:r>
                      </w:p>
                    </w:tc>
                  </w:tr>
                </w:tbl>
                <w:p w14:paraId="5D558C36" w14:textId="77777777" w:rsidR="00B16DFE" w:rsidRDefault="009F0859">
                  <w:pPr>
                    <w:pBdr>
                      <w:top w:val="single" w:sz="9" w:space="0" w:color="D8DDEA"/>
                    </w:pBdr>
                    <w:spacing w:after="0" w:line="225" w:lineRule="atLeast"/>
                    <w:rPr>
                      <w:rFonts w:ascii="Arial" w:eastAsia="Arial" w:hAnsi="Arial" w:cs="Arial"/>
                      <w:sz w:val="16"/>
                      <w:szCs w:val="16"/>
                    </w:rPr>
                  </w:pPr>
                  <w:r>
                    <w:rPr>
                      <w:rFonts w:ascii="Arial" w:eastAsia="Arial" w:hAnsi="Arial" w:cs="Arial"/>
                      <w:sz w:val="16"/>
                      <w:szCs w:val="16"/>
                    </w:rPr>
                    <w:t> </w:t>
                  </w:r>
                </w:p>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876"/>
                    <w:gridCol w:w="2071"/>
                    <w:gridCol w:w="2150"/>
                  </w:tblGrid>
                  <w:tr w:rsidR="00B16DFE" w14:paraId="5ABAEEA7" w14:textId="77777777">
                    <w:trPr>
                      <w:tblCellSpacing w:w="30" w:type="dxa"/>
                    </w:trPr>
                    <w:tc>
                      <w:tcPr>
                        <w:tcW w:w="50" w:type="pct"/>
                        <w:vAlign w:val="center"/>
                      </w:tcPr>
                      <w:p w14:paraId="35F0D5ED" w14:textId="77777777" w:rsidR="00B16DFE" w:rsidRDefault="009F0859">
                        <w:pPr>
                          <w:spacing w:after="0" w:line="225" w:lineRule="atLeast"/>
                          <w:rPr>
                            <w:rFonts w:ascii="Arial" w:eastAsia="Arial" w:hAnsi="Arial" w:cs="Arial"/>
                            <w:sz w:val="16"/>
                            <w:szCs w:val="16"/>
                          </w:rPr>
                        </w:pPr>
                        <w:r>
                          <w:rPr>
                            <w:noProof/>
                          </w:rPr>
                          <w:drawing>
                            <wp:inline distT="0" distB="0" distL="0" distR="0" wp14:anchorId="6C714BD0" wp14:editId="517650C4">
                              <wp:extent cx="361950" cy="352425"/>
                              <wp:effectExtent l="0" t="0" r="0" b="0"/>
                              <wp:docPr id="39" name="Picture 39" descr="Wages"/>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34" cstate="print"/>
                                      <a:stretch>
                                        <a:fillRect/>
                                      </a:stretch>
                                    </pic:blipFill>
                                    <pic:spPr>
                                      <a:xfrm>
                                        <a:off x="0" y="0"/>
                                        <a:ext cx="361950" cy="352425"/>
                                      </a:xfrm>
                                      <a:prstGeom prst="rect">
                                        <a:avLst/>
                                      </a:prstGeom>
                                    </pic:spPr>
                                  </pic:pic>
                                </a:graphicData>
                              </a:graphic>
                            </wp:inline>
                          </w:drawing>
                        </w:r>
                      </w:p>
                    </w:tc>
                    <w:tc>
                      <w:tcPr>
                        <w:tcW w:w="0" w:type="auto"/>
                        <w:vAlign w:val="center"/>
                      </w:tcPr>
                      <w:p w14:paraId="734BA48F" w14:textId="77777777" w:rsidR="00B16DFE" w:rsidRDefault="009F0859">
                        <w:pPr>
                          <w:spacing w:after="0" w:line="420" w:lineRule="atLeast"/>
                          <w:rPr>
                            <w:rFonts w:ascii="Arial" w:eastAsia="Arial" w:hAnsi="Arial" w:cs="Arial"/>
                            <w:b/>
                            <w:bCs/>
                            <w:color w:val="4F108A"/>
                            <w:sz w:val="27"/>
                            <w:szCs w:val="27"/>
                          </w:rPr>
                        </w:pPr>
                        <w:r>
                          <w:rPr>
                            <w:rFonts w:ascii="Arial" w:eastAsia="Arial" w:hAnsi="Arial" w:cs="Arial"/>
                            <w:b/>
                            <w:bCs/>
                            <w:color w:val="4F108A"/>
                            <w:sz w:val="27"/>
                            <w:szCs w:val="27"/>
                          </w:rPr>
                          <w:t xml:space="preserve">£1.9bn </w:t>
                        </w:r>
                      </w:p>
                      <w:p w14:paraId="37F4FC62" w14:textId="77777777" w:rsidR="00B16DFE" w:rsidRDefault="009F0859">
                        <w:pPr>
                          <w:spacing w:after="0" w:line="360" w:lineRule="auto"/>
                          <w:rPr>
                            <w:rFonts w:ascii="Arial" w:eastAsia="Arial" w:hAnsi="Arial" w:cs="Arial"/>
                            <w:color w:val="4F108A"/>
                            <w:sz w:val="15"/>
                            <w:szCs w:val="15"/>
                          </w:rPr>
                        </w:pPr>
                        <w:r>
                          <w:rPr>
                            <w:rFonts w:ascii="Arial" w:eastAsia="Arial" w:hAnsi="Arial" w:cs="Arial"/>
                            <w:color w:val="4F108A"/>
                            <w:sz w:val="15"/>
                            <w:szCs w:val="15"/>
                          </w:rPr>
                          <w:t>Wages</w:t>
                        </w:r>
                      </w:p>
                    </w:tc>
                    <w:tc>
                      <w:tcPr>
                        <w:tcW w:w="2500" w:type="pct"/>
                        <w:vAlign w:val="center"/>
                      </w:tcPr>
                      <w:p w14:paraId="4C830DF3" w14:textId="77777777" w:rsidR="00B16DFE" w:rsidRDefault="00B16DFE"/>
                    </w:tc>
                  </w:tr>
                </w:tbl>
                <w:p w14:paraId="50627288" w14:textId="77777777" w:rsidR="00B16DFE" w:rsidRDefault="00B16DFE">
                  <w:pPr>
                    <w:spacing w:after="0"/>
                    <w:rPr>
                      <w:vanish/>
                    </w:rPr>
                  </w:pPr>
                </w:p>
                <w:tbl>
                  <w:tblPr>
                    <w:tblW w:w="5000" w:type="pct"/>
                    <w:tblCellSpacing w:w="30" w:type="dxa"/>
                    <w:tblBorders>
                      <w:top w:val="nil"/>
                      <w:left w:val="nil"/>
                      <w:bottom w:val="nil"/>
                      <w:right w:val="nil"/>
                      <w:insideH w:val="nil"/>
                      <w:insideV w:val="nil"/>
                    </w:tblBorders>
                    <w:tblLook w:val="04A0" w:firstRow="1" w:lastRow="0" w:firstColumn="1" w:lastColumn="0" w:noHBand="0" w:noVBand="1"/>
                  </w:tblPr>
                  <w:tblGrid>
                    <w:gridCol w:w="1285"/>
                    <w:gridCol w:w="1256"/>
                    <w:gridCol w:w="2556"/>
                  </w:tblGrid>
                  <w:tr w:rsidR="00B16DFE" w14:paraId="69C7B076" w14:textId="77777777">
                    <w:trPr>
                      <w:tblCellSpacing w:w="30" w:type="dxa"/>
                    </w:trPr>
                    <w:tc>
                      <w:tcPr>
                        <w:tcW w:w="1250" w:type="pct"/>
                      </w:tcPr>
                      <w:p w14:paraId="6BD09A87"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2016–2021</w:t>
                        </w:r>
                      </w:p>
                      <w:p w14:paraId="3CC5260D" w14:textId="77777777" w:rsidR="00B16DFE" w:rsidRDefault="009F0859">
                        <w:pPr>
                          <w:spacing w:after="0" w:line="336" w:lineRule="auto"/>
                          <w:rPr>
                            <w:rFonts w:ascii="Arial" w:eastAsia="Arial" w:hAnsi="Arial" w:cs="Arial"/>
                            <w:sz w:val="20"/>
                            <w:szCs w:val="20"/>
                          </w:rPr>
                        </w:pPr>
                        <w:r>
                          <w:rPr>
                            <w:rFonts w:ascii="Arial" w:eastAsia="Arial" w:hAnsi="Arial" w:cs="Arial"/>
                            <w:sz w:val="20"/>
                            <w:szCs w:val="20"/>
                          </w:rPr>
                          <w:t>-3.3%</w:t>
                        </w:r>
                      </w:p>
                    </w:tc>
                    <w:tc>
                      <w:tcPr>
                        <w:tcW w:w="1250" w:type="pct"/>
                      </w:tcPr>
                      <w:p w14:paraId="7251A80C"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2021–2026</w:t>
                        </w:r>
                      </w:p>
                      <w:p w14:paraId="41A8C0B5" w14:textId="77777777" w:rsidR="00B16DFE" w:rsidRDefault="009F0859">
                        <w:pPr>
                          <w:spacing w:after="0" w:line="336" w:lineRule="auto"/>
                          <w:rPr>
                            <w:rFonts w:ascii="Arial" w:eastAsia="Arial" w:hAnsi="Arial" w:cs="Arial"/>
                            <w:sz w:val="20"/>
                            <w:szCs w:val="20"/>
                          </w:rPr>
                        </w:pPr>
                        <w:r>
                          <w:rPr>
                            <w:rFonts w:ascii="Arial" w:eastAsia="Arial" w:hAnsi="Arial" w:cs="Arial"/>
                            <w:sz w:val="20"/>
                            <w:szCs w:val="20"/>
                          </w:rPr>
                          <w:t>3.8%</w:t>
                        </w:r>
                      </w:p>
                    </w:tc>
                    <w:tc>
                      <w:tcPr>
                        <w:tcW w:w="2500" w:type="pct"/>
                      </w:tcPr>
                      <w:p w14:paraId="01F5AC69" w14:textId="77777777" w:rsidR="00B16DFE" w:rsidRDefault="009F0859">
                        <w:pPr>
                          <w:spacing w:after="0" w:line="432" w:lineRule="auto"/>
                          <w:rPr>
                            <w:rFonts w:ascii="Arial" w:eastAsia="Arial" w:hAnsi="Arial" w:cs="Arial"/>
                            <w:b/>
                            <w:bCs/>
                            <w:sz w:val="15"/>
                            <w:szCs w:val="15"/>
                          </w:rPr>
                        </w:pPr>
                        <w:r>
                          <w:rPr>
                            <w:rFonts w:ascii="Arial" w:eastAsia="Arial" w:hAnsi="Arial" w:cs="Arial"/>
                            <w:b/>
                            <w:bCs/>
                            <w:sz w:val="15"/>
                            <w:szCs w:val="15"/>
                          </w:rPr>
                          <w:t xml:space="preserve">Annual Growth </w:t>
                        </w:r>
                        <w:r>
                          <w:br/>
                        </w:r>
                        <w:r>
                          <w:rPr>
                            <w:rFonts w:ascii="Arial" w:eastAsia="Arial" w:hAnsi="Arial" w:cs="Arial"/>
                            <w:b/>
                            <w:bCs/>
                            <w:sz w:val="15"/>
                            <w:szCs w:val="15"/>
                          </w:rPr>
                          <w:t>2016–2026</w:t>
                        </w:r>
                      </w:p>
                      <w:p w14:paraId="48E3E4A7" w14:textId="77777777" w:rsidR="00B16DFE" w:rsidRDefault="009F0859">
                        <w:pPr>
                          <w:spacing w:after="0" w:line="225" w:lineRule="atLeast"/>
                          <w:rPr>
                            <w:rFonts w:ascii="Arial" w:eastAsia="Arial" w:hAnsi="Arial" w:cs="Arial"/>
                            <w:sz w:val="16"/>
                            <w:szCs w:val="16"/>
                          </w:rPr>
                        </w:pPr>
                        <w:r>
                          <w:rPr>
                            <w:noProof/>
                          </w:rPr>
                          <w:drawing>
                            <wp:inline distT="0" distB="0" distL="0" distR="0" wp14:anchorId="43053FC0" wp14:editId="3B6B8CB4">
                              <wp:extent cx="1428750" cy="259773"/>
                              <wp:effectExtent l="0" t="0" r="0" b="0"/>
                              <wp:docPr id="41" name="Picture 4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35" cstate="print"/>
                                      <a:stretch>
                                        <a:fillRect/>
                                      </a:stretch>
                                    </pic:blipFill>
                                    <pic:spPr>
                                      <a:xfrm>
                                        <a:off x="0" y="0"/>
                                        <a:ext cx="1428750" cy="259773"/>
                                      </a:xfrm>
                                      <a:prstGeom prst="rect">
                                        <a:avLst/>
                                      </a:prstGeom>
                                    </pic:spPr>
                                  </pic:pic>
                                </a:graphicData>
                              </a:graphic>
                            </wp:inline>
                          </w:drawing>
                        </w:r>
                      </w:p>
                    </w:tc>
                  </w:tr>
                </w:tbl>
                <w:p w14:paraId="2CC98EE3" w14:textId="77777777" w:rsidR="00B16DFE" w:rsidRDefault="00B16DFE"/>
              </w:tc>
              <w:tc>
                <w:tcPr>
                  <w:tcW w:w="2500" w:type="pct"/>
                  <w:tcBorders>
                    <w:left w:val="single" w:sz="9" w:space="0" w:color="D8DDEA"/>
                  </w:tcBorders>
                </w:tcPr>
                <w:p w14:paraId="4B7B6325" w14:textId="77777777" w:rsidR="00B16DFE" w:rsidRDefault="009F0859">
                  <w:pPr>
                    <w:spacing w:after="0" w:line="270" w:lineRule="atLeast"/>
                    <w:ind w:left="60"/>
                    <w:rPr>
                      <w:rFonts w:ascii="Arial" w:eastAsia="Arial" w:hAnsi="Arial" w:cs="Arial"/>
                      <w:b/>
                      <w:bCs/>
                      <w:color w:val="333333"/>
                      <w:spacing w:val="4"/>
                      <w:sz w:val="21"/>
                      <w:szCs w:val="21"/>
                    </w:rPr>
                  </w:pPr>
                  <w:r>
                    <w:rPr>
                      <w:rFonts w:ascii="Arial" w:eastAsia="Arial" w:hAnsi="Arial" w:cs="Arial"/>
                      <w:b/>
                      <w:bCs/>
                      <w:color w:val="333333"/>
                      <w:spacing w:val="4"/>
                      <w:sz w:val="21"/>
                      <w:szCs w:val="21"/>
                    </w:rPr>
                    <w:t>Industry Structure</w:t>
                  </w:r>
                </w:p>
                <w:p w14:paraId="5797639F" w14:textId="77777777" w:rsidR="00B16DFE" w:rsidRDefault="00B16DFE">
                  <w:pPr>
                    <w:spacing w:after="0" w:line="225" w:lineRule="atLeast"/>
                    <w:rPr>
                      <w:rFonts w:ascii="Arial" w:eastAsia="Arial" w:hAnsi="Arial" w:cs="Arial"/>
                      <w:sz w:val="16"/>
                      <w:szCs w:val="16"/>
                    </w:rPr>
                  </w:pPr>
                </w:p>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576"/>
                    <w:gridCol w:w="2108"/>
                    <w:gridCol w:w="321"/>
                    <w:gridCol w:w="2093"/>
                  </w:tblGrid>
                  <w:tr w:rsidR="00B16DFE" w14:paraId="7EC8FCE0" w14:textId="77777777">
                    <w:trPr>
                      <w:gridAfter w:val="2"/>
                      <w:wAfter w:w="630" w:type="dxa"/>
                      <w:tblCellSpacing w:w="30" w:type="dxa"/>
                    </w:trPr>
                    <w:tc>
                      <w:tcPr>
                        <w:tcW w:w="50" w:type="pct"/>
                        <w:vAlign w:val="center"/>
                      </w:tcPr>
                      <w:p w14:paraId="65D5BB27" w14:textId="77777777" w:rsidR="00B16DFE" w:rsidRDefault="009F0859">
                        <w:pPr>
                          <w:spacing w:after="0" w:line="225" w:lineRule="atLeast"/>
                          <w:rPr>
                            <w:rFonts w:ascii="Arial" w:eastAsia="Arial" w:hAnsi="Arial" w:cs="Arial"/>
                            <w:sz w:val="16"/>
                            <w:szCs w:val="16"/>
                          </w:rPr>
                        </w:pPr>
                        <w:r>
                          <w:rPr>
                            <w:noProof/>
                          </w:rPr>
                          <w:drawing>
                            <wp:inline distT="0" distB="0" distL="0" distR="0" wp14:anchorId="2801BB12" wp14:editId="657267AC">
                              <wp:extent cx="171450" cy="161925"/>
                              <wp:effectExtent l="0" t="0" r="0" b="0"/>
                              <wp:docPr id="43" name="Picture 43" descr="Positive Impact"/>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36" cstate="print"/>
                                      <a:stretch>
                                        <a:fillRect/>
                                      </a:stretch>
                                    </pic:blipFill>
                                    <pic:spPr>
                                      <a:xfrm>
                                        <a:off x="0" y="0"/>
                                        <a:ext cx="171450" cy="161925"/>
                                      </a:xfrm>
                                      <a:prstGeom prst="rect">
                                        <a:avLst/>
                                      </a:prstGeom>
                                    </pic:spPr>
                                  </pic:pic>
                                </a:graphicData>
                              </a:graphic>
                            </wp:inline>
                          </w:drawing>
                        </w:r>
                      </w:p>
                    </w:tc>
                    <w:tc>
                      <w:tcPr>
                        <w:tcW w:w="2500" w:type="pct"/>
                        <w:vAlign w:val="center"/>
                      </w:tcPr>
                      <w:p w14:paraId="5379B2B0" w14:textId="77777777" w:rsidR="00B16DFE" w:rsidRDefault="009F0859">
                        <w:pPr>
                          <w:spacing w:after="0" w:line="240" w:lineRule="atLeast"/>
                          <w:rPr>
                            <w:rFonts w:ascii="Arial" w:eastAsia="Arial" w:hAnsi="Arial" w:cs="Arial"/>
                            <w:sz w:val="16"/>
                            <w:szCs w:val="16"/>
                          </w:rPr>
                        </w:pPr>
                        <w:r>
                          <w:rPr>
                            <w:rFonts w:ascii="Arial" w:eastAsia="Arial" w:hAnsi="Arial" w:cs="Arial"/>
                            <w:b/>
                            <w:bCs/>
                            <w:caps/>
                            <w:color w:val="086D06"/>
                            <w:sz w:val="18"/>
                            <w:szCs w:val="18"/>
                          </w:rPr>
                          <w:t>Positive Impact</w:t>
                        </w:r>
                      </w:p>
                    </w:tc>
                  </w:tr>
                  <w:tr w:rsidR="00B16DFE" w14:paraId="151E738A" w14:textId="77777777">
                    <w:trPr>
                      <w:gridAfter w:val="2"/>
                      <w:wAfter w:w="630" w:type="dxa"/>
                      <w:tblCellSpacing w:w="30" w:type="dxa"/>
                    </w:trPr>
                    <w:tc>
                      <w:tcPr>
                        <w:tcW w:w="50" w:type="pct"/>
                        <w:vAlign w:val="center"/>
                      </w:tcPr>
                      <w:p w14:paraId="7F9A0FA3"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5456E091"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Concentration </w:t>
                        </w:r>
                      </w:p>
                      <w:p w14:paraId="23F1FA5C" w14:textId="77777777" w:rsidR="00B16DFE" w:rsidRDefault="009F0859">
                        <w:pPr>
                          <w:spacing w:after="0" w:line="225" w:lineRule="atLeast"/>
                          <w:rPr>
                            <w:rFonts w:ascii="Arial" w:eastAsia="Arial" w:hAnsi="Arial" w:cs="Arial"/>
                            <w:color w:val="086D06"/>
                            <w:sz w:val="16"/>
                            <w:szCs w:val="16"/>
                          </w:rPr>
                        </w:pPr>
                        <w:r>
                          <w:rPr>
                            <w:rFonts w:ascii="Arial" w:eastAsia="Arial" w:hAnsi="Arial" w:cs="Arial"/>
                            <w:color w:val="086D06"/>
                            <w:sz w:val="16"/>
                            <w:szCs w:val="16"/>
                          </w:rPr>
                          <w:t>Low</w:t>
                        </w:r>
                      </w:p>
                    </w:tc>
                  </w:tr>
                  <w:tr w:rsidR="00B16DFE" w14:paraId="4AFA91FE" w14:textId="77777777">
                    <w:trPr>
                      <w:gridAfter w:val="3"/>
                      <w:wAfter w:w="990" w:type="dxa"/>
                      <w:tblCellSpacing w:w="30" w:type="dxa"/>
                    </w:trPr>
                    <w:tc>
                      <w:tcPr>
                        <w:tcW w:w="0" w:type="auto"/>
                      </w:tcPr>
                      <w:p w14:paraId="4C433FFC" w14:textId="77777777" w:rsidR="00B16DFE" w:rsidRDefault="00B16DFE"/>
                    </w:tc>
                  </w:tr>
                  <w:tr w:rsidR="00B16DFE" w14:paraId="7E05B52E" w14:textId="77777777">
                    <w:trPr>
                      <w:gridAfter w:val="2"/>
                      <w:wAfter w:w="630" w:type="dxa"/>
                      <w:tblCellSpacing w:w="30" w:type="dxa"/>
                    </w:trPr>
                    <w:tc>
                      <w:tcPr>
                        <w:tcW w:w="50" w:type="pct"/>
                        <w:vAlign w:val="center"/>
                      </w:tcPr>
                      <w:p w14:paraId="09BFA940" w14:textId="77777777" w:rsidR="00B16DFE" w:rsidRDefault="009F0859">
                        <w:pPr>
                          <w:spacing w:after="0" w:line="225" w:lineRule="atLeast"/>
                          <w:rPr>
                            <w:rFonts w:ascii="Arial" w:eastAsia="Arial" w:hAnsi="Arial" w:cs="Arial"/>
                            <w:sz w:val="16"/>
                            <w:szCs w:val="16"/>
                          </w:rPr>
                        </w:pPr>
                        <w:r>
                          <w:rPr>
                            <w:noProof/>
                          </w:rPr>
                          <w:drawing>
                            <wp:inline distT="0" distB="0" distL="0" distR="0" wp14:anchorId="71000BEC" wp14:editId="29D63FCB">
                              <wp:extent cx="171450" cy="161925"/>
                              <wp:effectExtent l="0" t="0" r="0" b="0"/>
                              <wp:docPr id="45" name="Picture 45" descr="Mixed Impact"/>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37" cstate="print"/>
                                      <a:stretch>
                                        <a:fillRect/>
                                      </a:stretch>
                                    </pic:blipFill>
                                    <pic:spPr>
                                      <a:xfrm>
                                        <a:off x="0" y="0"/>
                                        <a:ext cx="171450" cy="161925"/>
                                      </a:xfrm>
                                      <a:prstGeom prst="rect">
                                        <a:avLst/>
                                      </a:prstGeom>
                                    </pic:spPr>
                                  </pic:pic>
                                </a:graphicData>
                              </a:graphic>
                            </wp:inline>
                          </w:drawing>
                        </w:r>
                      </w:p>
                    </w:tc>
                    <w:tc>
                      <w:tcPr>
                        <w:tcW w:w="2500" w:type="pct"/>
                        <w:vAlign w:val="center"/>
                      </w:tcPr>
                      <w:p w14:paraId="18CCA5EA" w14:textId="77777777" w:rsidR="00B16DFE" w:rsidRDefault="009F0859">
                        <w:pPr>
                          <w:spacing w:after="0" w:line="240" w:lineRule="atLeast"/>
                          <w:rPr>
                            <w:rFonts w:ascii="Arial" w:eastAsia="Arial" w:hAnsi="Arial" w:cs="Arial"/>
                            <w:sz w:val="16"/>
                            <w:szCs w:val="16"/>
                          </w:rPr>
                        </w:pPr>
                        <w:r>
                          <w:rPr>
                            <w:rFonts w:ascii="Arial" w:eastAsia="Arial" w:hAnsi="Arial" w:cs="Arial"/>
                            <w:b/>
                            <w:bCs/>
                            <w:caps/>
                            <w:color w:val="F58232"/>
                            <w:sz w:val="18"/>
                            <w:szCs w:val="18"/>
                          </w:rPr>
                          <w:t>Mixed Impact</w:t>
                        </w:r>
                      </w:p>
                    </w:tc>
                  </w:tr>
                  <w:tr w:rsidR="00B16DFE" w14:paraId="71F726C5" w14:textId="77777777">
                    <w:trPr>
                      <w:tblCellSpacing w:w="30" w:type="dxa"/>
                    </w:trPr>
                    <w:tc>
                      <w:tcPr>
                        <w:tcW w:w="50" w:type="pct"/>
                        <w:vAlign w:val="center"/>
                      </w:tcPr>
                      <w:p w14:paraId="3C04A83D"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0" w:type="auto"/>
                        <w:vAlign w:val="center"/>
                      </w:tcPr>
                      <w:p w14:paraId="19B6EFD3"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Life Cycle </w:t>
                        </w:r>
                      </w:p>
                      <w:p w14:paraId="1A1B25F4" w14:textId="77777777" w:rsidR="00B16DFE" w:rsidRDefault="009F0859">
                        <w:pPr>
                          <w:spacing w:after="0" w:line="225" w:lineRule="atLeast"/>
                          <w:rPr>
                            <w:rFonts w:ascii="Arial" w:eastAsia="Arial" w:hAnsi="Arial" w:cs="Arial"/>
                            <w:color w:val="F58232"/>
                            <w:sz w:val="16"/>
                            <w:szCs w:val="16"/>
                          </w:rPr>
                        </w:pPr>
                        <w:r>
                          <w:rPr>
                            <w:rFonts w:ascii="Arial" w:eastAsia="Arial" w:hAnsi="Arial" w:cs="Arial"/>
                            <w:color w:val="F58232"/>
                            <w:sz w:val="16"/>
                            <w:szCs w:val="16"/>
                          </w:rPr>
                          <w:t>Mature</w:t>
                        </w:r>
                      </w:p>
                    </w:tc>
                    <w:tc>
                      <w:tcPr>
                        <w:tcW w:w="0" w:type="auto"/>
                        <w:vAlign w:val="center"/>
                      </w:tcPr>
                      <w:p w14:paraId="1E8BD33D"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75339D94"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Revenue Volatility </w:t>
                        </w:r>
                      </w:p>
                      <w:p w14:paraId="58312F79" w14:textId="77777777" w:rsidR="00B16DFE" w:rsidRDefault="009F0859">
                        <w:pPr>
                          <w:spacing w:after="0" w:line="225" w:lineRule="atLeast"/>
                          <w:rPr>
                            <w:rFonts w:ascii="Arial" w:eastAsia="Arial" w:hAnsi="Arial" w:cs="Arial"/>
                            <w:color w:val="F58232"/>
                            <w:sz w:val="16"/>
                            <w:szCs w:val="16"/>
                          </w:rPr>
                        </w:pPr>
                        <w:r>
                          <w:rPr>
                            <w:rFonts w:ascii="Arial" w:eastAsia="Arial" w:hAnsi="Arial" w:cs="Arial"/>
                            <w:color w:val="F58232"/>
                            <w:sz w:val="16"/>
                            <w:szCs w:val="16"/>
                          </w:rPr>
                          <w:t>Medium</w:t>
                        </w:r>
                      </w:p>
                    </w:tc>
                  </w:tr>
                  <w:tr w:rsidR="00B16DFE" w14:paraId="55706F3C" w14:textId="77777777">
                    <w:trPr>
                      <w:tblCellSpacing w:w="30" w:type="dxa"/>
                    </w:trPr>
                    <w:tc>
                      <w:tcPr>
                        <w:tcW w:w="50" w:type="pct"/>
                        <w:vAlign w:val="center"/>
                      </w:tcPr>
                      <w:p w14:paraId="31975066"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0" w:type="auto"/>
                        <w:vAlign w:val="center"/>
                      </w:tcPr>
                      <w:p w14:paraId="14F42436"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Capital Intensity </w:t>
                        </w:r>
                      </w:p>
                      <w:p w14:paraId="751DE635" w14:textId="77777777" w:rsidR="00B16DFE" w:rsidRDefault="009F0859">
                        <w:pPr>
                          <w:spacing w:after="0" w:line="225" w:lineRule="atLeast"/>
                          <w:rPr>
                            <w:rFonts w:ascii="Arial" w:eastAsia="Arial" w:hAnsi="Arial" w:cs="Arial"/>
                            <w:color w:val="F58232"/>
                            <w:sz w:val="16"/>
                            <w:szCs w:val="16"/>
                          </w:rPr>
                        </w:pPr>
                        <w:r>
                          <w:rPr>
                            <w:rFonts w:ascii="Arial" w:eastAsia="Arial" w:hAnsi="Arial" w:cs="Arial"/>
                            <w:color w:val="F58232"/>
                            <w:sz w:val="16"/>
                            <w:szCs w:val="16"/>
                          </w:rPr>
                          <w:t>Medium</w:t>
                        </w:r>
                      </w:p>
                    </w:tc>
                    <w:tc>
                      <w:tcPr>
                        <w:tcW w:w="0" w:type="auto"/>
                        <w:vAlign w:val="center"/>
                      </w:tcPr>
                      <w:p w14:paraId="1715811C"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2F06BA68"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Regulation &amp; Policy </w:t>
                        </w:r>
                      </w:p>
                      <w:p w14:paraId="3029FA34" w14:textId="77777777" w:rsidR="00B16DFE" w:rsidRDefault="009F0859">
                        <w:pPr>
                          <w:spacing w:after="0" w:line="225" w:lineRule="atLeast"/>
                          <w:rPr>
                            <w:rFonts w:ascii="Arial" w:eastAsia="Arial" w:hAnsi="Arial" w:cs="Arial"/>
                            <w:color w:val="F58232"/>
                            <w:sz w:val="16"/>
                            <w:szCs w:val="16"/>
                          </w:rPr>
                        </w:pPr>
                        <w:r>
                          <w:rPr>
                            <w:rFonts w:ascii="Arial" w:eastAsia="Arial" w:hAnsi="Arial" w:cs="Arial"/>
                            <w:color w:val="F58232"/>
                            <w:sz w:val="16"/>
                            <w:szCs w:val="16"/>
                          </w:rPr>
                          <w:t>Medium / Steady</w:t>
                        </w:r>
                      </w:p>
                    </w:tc>
                  </w:tr>
                  <w:tr w:rsidR="00B16DFE" w14:paraId="46F65977" w14:textId="77777777">
                    <w:trPr>
                      <w:gridAfter w:val="2"/>
                      <w:wAfter w:w="630" w:type="dxa"/>
                      <w:tblCellSpacing w:w="30" w:type="dxa"/>
                    </w:trPr>
                    <w:tc>
                      <w:tcPr>
                        <w:tcW w:w="50" w:type="pct"/>
                        <w:vAlign w:val="center"/>
                      </w:tcPr>
                      <w:p w14:paraId="55684289"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1BCD77A2"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Technology Change </w:t>
                        </w:r>
                      </w:p>
                      <w:p w14:paraId="347350FA" w14:textId="77777777" w:rsidR="00B16DFE" w:rsidRDefault="009F0859">
                        <w:pPr>
                          <w:spacing w:after="0" w:line="225" w:lineRule="atLeast"/>
                          <w:rPr>
                            <w:rFonts w:ascii="Arial" w:eastAsia="Arial" w:hAnsi="Arial" w:cs="Arial"/>
                            <w:color w:val="F58232"/>
                            <w:sz w:val="16"/>
                            <w:szCs w:val="16"/>
                          </w:rPr>
                        </w:pPr>
                        <w:r>
                          <w:rPr>
                            <w:rFonts w:ascii="Arial" w:eastAsia="Arial" w:hAnsi="Arial" w:cs="Arial"/>
                            <w:color w:val="F58232"/>
                            <w:sz w:val="16"/>
                            <w:szCs w:val="16"/>
                          </w:rPr>
                          <w:t>Medium</w:t>
                        </w:r>
                      </w:p>
                    </w:tc>
                  </w:tr>
                  <w:tr w:rsidR="00B16DFE" w14:paraId="03528111" w14:textId="77777777">
                    <w:trPr>
                      <w:gridAfter w:val="3"/>
                      <w:wAfter w:w="990" w:type="dxa"/>
                      <w:tblCellSpacing w:w="30" w:type="dxa"/>
                    </w:trPr>
                    <w:tc>
                      <w:tcPr>
                        <w:tcW w:w="0" w:type="auto"/>
                      </w:tcPr>
                      <w:p w14:paraId="73D3117B" w14:textId="77777777" w:rsidR="00B16DFE" w:rsidRDefault="00B16DFE"/>
                    </w:tc>
                  </w:tr>
                  <w:tr w:rsidR="00B16DFE" w14:paraId="623AF756" w14:textId="77777777">
                    <w:trPr>
                      <w:gridAfter w:val="2"/>
                      <w:wAfter w:w="630" w:type="dxa"/>
                      <w:tblCellSpacing w:w="30" w:type="dxa"/>
                    </w:trPr>
                    <w:tc>
                      <w:tcPr>
                        <w:tcW w:w="50" w:type="pct"/>
                        <w:vAlign w:val="center"/>
                      </w:tcPr>
                      <w:p w14:paraId="0F2E1383" w14:textId="77777777" w:rsidR="00B16DFE" w:rsidRDefault="009F0859">
                        <w:pPr>
                          <w:spacing w:after="0" w:line="225" w:lineRule="atLeast"/>
                          <w:rPr>
                            <w:rFonts w:ascii="Arial" w:eastAsia="Arial" w:hAnsi="Arial" w:cs="Arial"/>
                            <w:sz w:val="16"/>
                            <w:szCs w:val="16"/>
                          </w:rPr>
                        </w:pPr>
                        <w:r>
                          <w:rPr>
                            <w:noProof/>
                          </w:rPr>
                          <w:drawing>
                            <wp:inline distT="0" distB="0" distL="0" distR="0" wp14:anchorId="1B5A0752" wp14:editId="67D78D95">
                              <wp:extent cx="171450" cy="161925"/>
                              <wp:effectExtent l="0" t="0" r="0" b="0"/>
                              <wp:docPr id="47" name="Picture 47" descr="Negative Impact"/>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38" cstate="print"/>
                                      <a:stretch>
                                        <a:fillRect/>
                                      </a:stretch>
                                    </pic:blipFill>
                                    <pic:spPr>
                                      <a:xfrm>
                                        <a:off x="0" y="0"/>
                                        <a:ext cx="171450" cy="161925"/>
                                      </a:xfrm>
                                      <a:prstGeom prst="rect">
                                        <a:avLst/>
                                      </a:prstGeom>
                                    </pic:spPr>
                                  </pic:pic>
                                </a:graphicData>
                              </a:graphic>
                            </wp:inline>
                          </w:drawing>
                        </w:r>
                      </w:p>
                    </w:tc>
                    <w:tc>
                      <w:tcPr>
                        <w:tcW w:w="2500" w:type="pct"/>
                        <w:vAlign w:val="center"/>
                      </w:tcPr>
                      <w:p w14:paraId="75AF541E" w14:textId="77777777" w:rsidR="00B16DFE" w:rsidRDefault="009F0859">
                        <w:pPr>
                          <w:spacing w:after="0" w:line="240" w:lineRule="atLeast"/>
                          <w:rPr>
                            <w:rFonts w:ascii="Arial" w:eastAsia="Arial" w:hAnsi="Arial" w:cs="Arial"/>
                            <w:sz w:val="16"/>
                            <w:szCs w:val="16"/>
                          </w:rPr>
                        </w:pPr>
                        <w:r>
                          <w:rPr>
                            <w:rFonts w:ascii="Arial" w:eastAsia="Arial" w:hAnsi="Arial" w:cs="Arial"/>
                            <w:b/>
                            <w:bCs/>
                            <w:caps/>
                            <w:color w:val="DB1F2C"/>
                            <w:sz w:val="18"/>
                            <w:szCs w:val="18"/>
                          </w:rPr>
                          <w:t>Negative Impact</w:t>
                        </w:r>
                      </w:p>
                    </w:tc>
                  </w:tr>
                  <w:tr w:rsidR="00B16DFE" w14:paraId="4348E7EC" w14:textId="77777777">
                    <w:trPr>
                      <w:tblCellSpacing w:w="30" w:type="dxa"/>
                    </w:trPr>
                    <w:tc>
                      <w:tcPr>
                        <w:tcW w:w="50" w:type="pct"/>
                        <w:vAlign w:val="center"/>
                      </w:tcPr>
                      <w:p w14:paraId="0B2F8293"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0" w:type="auto"/>
                        <w:vAlign w:val="center"/>
                      </w:tcPr>
                      <w:p w14:paraId="38B0FD32"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Industry Assistance </w:t>
                        </w:r>
                      </w:p>
                      <w:p w14:paraId="78EE3F0D" w14:textId="77777777" w:rsidR="00B16DFE" w:rsidRDefault="009F0859">
                        <w:pPr>
                          <w:spacing w:after="0" w:line="225" w:lineRule="atLeast"/>
                          <w:rPr>
                            <w:rFonts w:ascii="Arial" w:eastAsia="Arial" w:hAnsi="Arial" w:cs="Arial"/>
                            <w:color w:val="DB1F2C"/>
                            <w:sz w:val="16"/>
                            <w:szCs w:val="16"/>
                          </w:rPr>
                        </w:pPr>
                        <w:r>
                          <w:rPr>
                            <w:rFonts w:ascii="Arial" w:eastAsia="Arial" w:hAnsi="Arial" w:cs="Arial"/>
                            <w:color w:val="DB1F2C"/>
                            <w:sz w:val="16"/>
                            <w:szCs w:val="16"/>
                          </w:rPr>
                          <w:t>Low / Steady</w:t>
                        </w:r>
                      </w:p>
                    </w:tc>
                    <w:tc>
                      <w:tcPr>
                        <w:tcW w:w="0" w:type="auto"/>
                        <w:vAlign w:val="center"/>
                      </w:tcPr>
                      <w:p w14:paraId="66F5D865"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007B9282"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Barriers to Entry </w:t>
                        </w:r>
                      </w:p>
                      <w:p w14:paraId="1FB0235A" w14:textId="77777777" w:rsidR="00B16DFE" w:rsidRDefault="009F0859">
                        <w:pPr>
                          <w:spacing w:after="0" w:line="225" w:lineRule="atLeast"/>
                          <w:rPr>
                            <w:rFonts w:ascii="Arial" w:eastAsia="Arial" w:hAnsi="Arial" w:cs="Arial"/>
                            <w:color w:val="DB1F2C"/>
                            <w:sz w:val="16"/>
                            <w:szCs w:val="16"/>
                          </w:rPr>
                        </w:pPr>
                        <w:r>
                          <w:rPr>
                            <w:rFonts w:ascii="Arial" w:eastAsia="Arial" w:hAnsi="Arial" w:cs="Arial"/>
                            <w:color w:val="DB1F2C"/>
                            <w:sz w:val="16"/>
                            <w:szCs w:val="16"/>
                          </w:rPr>
                          <w:t>Low / Steady</w:t>
                        </w:r>
                      </w:p>
                    </w:tc>
                  </w:tr>
                  <w:tr w:rsidR="00B16DFE" w14:paraId="179C8F81" w14:textId="77777777">
                    <w:trPr>
                      <w:tblCellSpacing w:w="30" w:type="dxa"/>
                    </w:trPr>
                    <w:tc>
                      <w:tcPr>
                        <w:tcW w:w="50" w:type="pct"/>
                        <w:vAlign w:val="center"/>
                      </w:tcPr>
                      <w:p w14:paraId="5EF61EDD"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0" w:type="auto"/>
                        <w:vAlign w:val="center"/>
                      </w:tcPr>
                      <w:p w14:paraId="230AE971"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Industry Globalization </w:t>
                        </w:r>
                      </w:p>
                      <w:p w14:paraId="74AA4FC4" w14:textId="77777777" w:rsidR="00B16DFE" w:rsidRDefault="009F0859">
                        <w:pPr>
                          <w:spacing w:after="0" w:line="225" w:lineRule="atLeast"/>
                          <w:rPr>
                            <w:rFonts w:ascii="Arial" w:eastAsia="Arial" w:hAnsi="Arial" w:cs="Arial"/>
                            <w:color w:val="DB1F2C"/>
                            <w:sz w:val="16"/>
                            <w:szCs w:val="16"/>
                          </w:rPr>
                        </w:pPr>
                        <w:r>
                          <w:rPr>
                            <w:rFonts w:ascii="Arial" w:eastAsia="Arial" w:hAnsi="Arial" w:cs="Arial"/>
                            <w:color w:val="DB1F2C"/>
                            <w:sz w:val="16"/>
                            <w:szCs w:val="16"/>
                          </w:rPr>
                          <w:t>High / Steady</w:t>
                        </w:r>
                      </w:p>
                    </w:tc>
                    <w:tc>
                      <w:tcPr>
                        <w:tcW w:w="0" w:type="auto"/>
                        <w:vAlign w:val="center"/>
                      </w:tcPr>
                      <w:p w14:paraId="44C3097D"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094FE0D9"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Competition </w:t>
                        </w:r>
                      </w:p>
                      <w:p w14:paraId="58718F8A" w14:textId="77777777" w:rsidR="00B16DFE" w:rsidRDefault="009F0859">
                        <w:pPr>
                          <w:spacing w:after="0" w:line="225" w:lineRule="atLeast"/>
                          <w:rPr>
                            <w:rFonts w:ascii="Arial" w:eastAsia="Arial" w:hAnsi="Arial" w:cs="Arial"/>
                            <w:color w:val="DB1F2C"/>
                            <w:sz w:val="16"/>
                            <w:szCs w:val="16"/>
                          </w:rPr>
                        </w:pPr>
                        <w:r>
                          <w:rPr>
                            <w:rFonts w:ascii="Arial" w:eastAsia="Arial" w:hAnsi="Arial" w:cs="Arial"/>
                            <w:color w:val="DB1F2C"/>
                            <w:sz w:val="16"/>
                            <w:szCs w:val="16"/>
                          </w:rPr>
                          <w:t>High / Increasing</w:t>
                        </w:r>
                      </w:p>
                    </w:tc>
                  </w:tr>
                  <w:tr w:rsidR="00B16DFE" w14:paraId="0A9F456C" w14:textId="77777777">
                    <w:trPr>
                      <w:gridAfter w:val="3"/>
                      <w:wAfter w:w="990" w:type="dxa"/>
                      <w:tblCellSpacing w:w="30" w:type="dxa"/>
                    </w:trPr>
                    <w:tc>
                      <w:tcPr>
                        <w:tcW w:w="0" w:type="auto"/>
                      </w:tcPr>
                      <w:p w14:paraId="6C3A10B1" w14:textId="77777777" w:rsidR="00B16DFE" w:rsidRDefault="00B16DFE"/>
                    </w:tc>
                  </w:tr>
                </w:tbl>
                <w:p w14:paraId="1B370219" w14:textId="77777777" w:rsidR="00B16DFE" w:rsidRDefault="009F0859">
                  <w:pPr>
                    <w:pBdr>
                      <w:top w:val="single" w:sz="9" w:space="0" w:color="D8DDEA"/>
                    </w:pBdr>
                    <w:spacing w:after="0" w:line="225" w:lineRule="atLeast"/>
                    <w:rPr>
                      <w:rFonts w:ascii="Arial" w:eastAsia="Arial" w:hAnsi="Arial" w:cs="Arial"/>
                      <w:sz w:val="16"/>
                      <w:szCs w:val="16"/>
                    </w:rPr>
                  </w:pPr>
                  <w:r>
                    <w:rPr>
                      <w:rFonts w:ascii="Arial" w:eastAsia="Arial" w:hAnsi="Arial" w:cs="Arial"/>
                      <w:sz w:val="16"/>
                      <w:szCs w:val="16"/>
                    </w:rPr>
                    <w:t> </w:t>
                  </w:r>
                </w:p>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5098"/>
                  </w:tblGrid>
                  <w:tr w:rsidR="00B16DFE" w14:paraId="44D2BFD2" w14:textId="77777777">
                    <w:trPr>
                      <w:tblCellSpacing w:w="30" w:type="dxa"/>
                    </w:trPr>
                    <w:tc>
                      <w:tcPr>
                        <w:tcW w:w="2500" w:type="pct"/>
                      </w:tcPr>
                      <w:p w14:paraId="285845F6" w14:textId="77777777" w:rsidR="00B16DFE" w:rsidRDefault="009F0859">
                        <w:pPr>
                          <w:spacing w:after="0" w:line="270" w:lineRule="atLeast"/>
                          <w:ind w:left="60"/>
                          <w:rPr>
                            <w:rFonts w:ascii="Arial" w:eastAsia="Arial" w:hAnsi="Arial" w:cs="Arial"/>
                            <w:b/>
                            <w:bCs/>
                            <w:color w:val="333333"/>
                            <w:spacing w:val="4"/>
                            <w:sz w:val="21"/>
                            <w:szCs w:val="21"/>
                          </w:rPr>
                        </w:pPr>
                        <w:r>
                          <w:rPr>
                            <w:rFonts w:ascii="Arial" w:eastAsia="Arial" w:hAnsi="Arial" w:cs="Arial"/>
                            <w:b/>
                            <w:bCs/>
                            <w:color w:val="333333"/>
                            <w:spacing w:val="4"/>
                            <w:sz w:val="21"/>
                            <w:szCs w:val="21"/>
                          </w:rPr>
                          <w:t>Key Trends</w:t>
                        </w:r>
                      </w:p>
                      <w:p w14:paraId="5D80AFC7" w14:textId="77777777" w:rsidR="00B16DFE" w:rsidRDefault="00B16DFE">
                        <w:pPr>
                          <w:spacing w:after="0" w:line="225" w:lineRule="atLeast"/>
                          <w:rPr>
                            <w:rFonts w:ascii="Arial" w:eastAsia="Arial" w:hAnsi="Arial" w:cs="Arial"/>
                            <w:sz w:val="16"/>
                            <w:szCs w:val="16"/>
                          </w:rPr>
                        </w:pPr>
                      </w:p>
                      <w:p w14:paraId="2CE45516" w14:textId="77777777" w:rsidR="00B16DFE" w:rsidRDefault="009F0859">
                        <w:pPr>
                          <w:numPr>
                            <w:ilvl w:val="0"/>
                            <w:numId w:val="4"/>
                          </w:numPr>
                          <w:spacing w:after="120" w:line="225" w:lineRule="atLeast"/>
                          <w:ind w:left="600" w:hanging="240"/>
                          <w:rPr>
                            <w:rFonts w:ascii="Arial" w:eastAsia="Arial" w:hAnsi="Arial" w:cs="Arial"/>
                            <w:sz w:val="16"/>
                            <w:szCs w:val="16"/>
                          </w:rPr>
                        </w:pPr>
                        <w:r>
                          <w:rPr>
                            <w:rFonts w:ascii="Arial" w:eastAsia="Arial" w:hAnsi="Arial" w:cs="Arial"/>
                            <w:sz w:val="16"/>
                            <w:szCs w:val="16"/>
                          </w:rPr>
                          <w:t xml:space="preserve">Low </w:t>
                        </w:r>
                        <w:r>
                          <w:rPr>
                            <w:rFonts w:ascii="Arial" w:eastAsia="Arial" w:hAnsi="Arial" w:cs="Arial"/>
                            <w:sz w:val="16"/>
                            <w:szCs w:val="16"/>
                          </w:rPr>
                          <w:t>confidence is expected to have altered consumer behaviour in respect to their travel choices</w:t>
                        </w:r>
                      </w:p>
                      <w:p w14:paraId="4EA10721" w14:textId="77777777" w:rsidR="00B16DFE" w:rsidRDefault="009F0859">
                        <w:pPr>
                          <w:numPr>
                            <w:ilvl w:val="0"/>
                            <w:numId w:val="4"/>
                          </w:numPr>
                          <w:spacing w:after="120" w:line="225" w:lineRule="atLeast"/>
                          <w:ind w:left="600" w:hanging="240"/>
                          <w:rPr>
                            <w:rFonts w:ascii="Arial" w:eastAsia="Arial" w:hAnsi="Arial" w:cs="Arial"/>
                            <w:sz w:val="16"/>
                            <w:szCs w:val="16"/>
                          </w:rPr>
                        </w:pPr>
                        <w:r>
                          <w:rPr>
                            <w:rFonts w:ascii="Arial" w:eastAsia="Arial" w:hAnsi="Arial" w:cs="Arial"/>
                            <w:sz w:val="16"/>
                            <w:szCs w:val="16"/>
                          </w:rPr>
                          <w:t>Operators aim to serve niche markets such as solo travelling and wellness holidays</w:t>
                        </w:r>
                      </w:p>
                      <w:p w14:paraId="129B6A89" w14:textId="77777777" w:rsidR="00B16DFE" w:rsidRDefault="009F0859">
                        <w:pPr>
                          <w:numPr>
                            <w:ilvl w:val="0"/>
                            <w:numId w:val="4"/>
                          </w:numPr>
                          <w:spacing w:after="120" w:line="225" w:lineRule="atLeast"/>
                          <w:ind w:left="600" w:hanging="240"/>
                          <w:rPr>
                            <w:rFonts w:ascii="Arial" w:eastAsia="Arial" w:hAnsi="Arial" w:cs="Arial"/>
                            <w:sz w:val="16"/>
                            <w:szCs w:val="16"/>
                          </w:rPr>
                        </w:pPr>
                        <w:r>
                          <w:rPr>
                            <w:rFonts w:ascii="Arial" w:eastAsia="Arial" w:hAnsi="Arial" w:cs="Arial"/>
                            <w:sz w:val="16"/>
                            <w:szCs w:val="16"/>
                          </w:rPr>
                          <w:t>The implementation of travel restrictions is expected to weigh on current year d</w:t>
                        </w:r>
                        <w:r>
                          <w:rPr>
                            <w:rFonts w:ascii="Arial" w:eastAsia="Arial" w:hAnsi="Arial" w:cs="Arial"/>
                            <w:sz w:val="16"/>
                            <w:szCs w:val="16"/>
                          </w:rPr>
                          <w:t>emand</w:t>
                        </w:r>
                      </w:p>
                      <w:p w14:paraId="6F52D2AC" w14:textId="77777777" w:rsidR="00B16DFE" w:rsidRDefault="009F0859">
                        <w:pPr>
                          <w:numPr>
                            <w:ilvl w:val="0"/>
                            <w:numId w:val="4"/>
                          </w:numPr>
                          <w:spacing w:after="120" w:line="225" w:lineRule="atLeast"/>
                          <w:ind w:left="600" w:hanging="240"/>
                          <w:rPr>
                            <w:rFonts w:ascii="Arial" w:eastAsia="Arial" w:hAnsi="Arial" w:cs="Arial"/>
                            <w:sz w:val="16"/>
                            <w:szCs w:val="16"/>
                          </w:rPr>
                        </w:pPr>
                        <w:r>
                          <w:rPr>
                            <w:rFonts w:ascii="Arial" w:eastAsia="Arial" w:hAnsi="Arial" w:cs="Arial"/>
                            <w:sz w:val="16"/>
                            <w:szCs w:val="16"/>
                          </w:rPr>
                          <w:t>The industry is likely to be characterised by rising competition over the next five years</w:t>
                        </w:r>
                      </w:p>
                      <w:p w14:paraId="57690692" w14:textId="77777777" w:rsidR="00B16DFE" w:rsidRDefault="009F0859">
                        <w:pPr>
                          <w:numPr>
                            <w:ilvl w:val="0"/>
                            <w:numId w:val="4"/>
                          </w:numPr>
                          <w:spacing w:after="120" w:line="225" w:lineRule="atLeast"/>
                          <w:ind w:left="600" w:hanging="240"/>
                          <w:rPr>
                            <w:rFonts w:ascii="Arial" w:eastAsia="Arial" w:hAnsi="Arial" w:cs="Arial"/>
                            <w:sz w:val="16"/>
                            <w:szCs w:val="16"/>
                          </w:rPr>
                        </w:pPr>
                        <w:r>
                          <w:rPr>
                            <w:rFonts w:ascii="Arial" w:eastAsia="Arial" w:hAnsi="Arial" w:cs="Arial"/>
                            <w:sz w:val="16"/>
                            <w:szCs w:val="16"/>
                          </w:rPr>
                          <w:t>Industry demand is forecast to be supported by demand for dynamic package holidays</w:t>
                        </w:r>
                      </w:p>
                      <w:p w14:paraId="732DF311" w14:textId="77777777" w:rsidR="00B16DFE" w:rsidRDefault="009F0859">
                        <w:pPr>
                          <w:numPr>
                            <w:ilvl w:val="0"/>
                            <w:numId w:val="4"/>
                          </w:numPr>
                          <w:spacing w:after="240" w:line="225" w:lineRule="atLeast"/>
                          <w:ind w:left="600" w:hanging="240"/>
                          <w:rPr>
                            <w:rFonts w:ascii="Arial" w:eastAsia="Arial" w:hAnsi="Arial" w:cs="Arial"/>
                            <w:sz w:val="16"/>
                            <w:szCs w:val="16"/>
                          </w:rPr>
                        </w:pPr>
                        <w:r>
                          <w:rPr>
                            <w:rFonts w:ascii="Arial" w:eastAsia="Arial" w:hAnsi="Arial" w:cs="Arial"/>
                            <w:sz w:val="16"/>
                            <w:szCs w:val="16"/>
                          </w:rPr>
                          <w:t xml:space="preserve">Potential further changes to APD are expected to occur over the next five </w:t>
                        </w:r>
                        <w:r>
                          <w:rPr>
                            <w:rFonts w:ascii="Arial" w:eastAsia="Arial" w:hAnsi="Arial" w:cs="Arial"/>
                            <w:sz w:val="16"/>
                            <w:szCs w:val="16"/>
                          </w:rPr>
                          <w:t>years</w:t>
                        </w:r>
                      </w:p>
                    </w:tc>
                  </w:tr>
                </w:tbl>
                <w:p w14:paraId="6415C3D0" w14:textId="77777777" w:rsidR="00B16DFE" w:rsidRDefault="00B16DFE"/>
              </w:tc>
            </w:tr>
          </w:tbl>
          <w:p w14:paraId="2821335B" w14:textId="77777777" w:rsidR="00B16DFE" w:rsidRDefault="00B16DFE"/>
        </w:tc>
      </w:tr>
    </w:tbl>
    <w:p w14:paraId="71B259F6" w14:textId="77777777" w:rsidR="00B16DFE" w:rsidRDefault="00B16DFE">
      <w:pPr>
        <w:spacing w:after="0"/>
        <w:rPr>
          <w:vanish/>
        </w:rPr>
      </w:pPr>
    </w:p>
    <w:tbl>
      <w:tblPr>
        <w:tblW w:w="5000" w:type="pct"/>
        <w:tblBorders>
          <w:top w:val="nil"/>
          <w:left w:val="nil"/>
          <w:bottom w:val="nil"/>
          <w:right w:val="nil"/>
          <w:insideH w:val="nil"/>
          <w:insideV w:val="nil"/>
        </w:tblBorders>
        <w:tblLook w:val="04A0" w:firstRow="1" w:lastRow="0" w:firstColumn="1" w:lastColumn="0" w:noHBand="0" w:noVBand="1"/>
      </w:tblPr>
      <w:tblGrid>
        <w:gridCol w:w="10843"/>
      </w:tblGrid>
      <w:tr w:rsidR="00B16DFE" w14:paraId="6C4B72AD" w14:textId="77777777">
        <w:trPr>
          <w:cantSplit/>
        </w:trPr>
        <w:tc>
          <w:tcPr>
            <w:tcW w:w="0" w:type="auto"/>
          </w:tcPr>
          <w:tbl>
            <w:tblPr>
              <w:tblW w:w="5000" w:type="pct"/>
              <w:tblBorders>
                <w:top w:val="nil"/>
                <w:left w:val="nil"/>
                <w:bottom w:val="nil"/>
                <w:right w:val="nil"/>
                <w:insideH w:val="nil"/>
                <w:insideV w:val="nil"/>
              </w:tblBorders>
              <w:tblLook w:val="04A0" w:firstRow="1" w:lastRow="0" w:firstColumn="1" w:lastColumn="0" w:noHBand="0" w:noVBand="1"/>
            </w:tblPr>
            <w:tblGrid>
              <w:gridCol w:w="10627"/>
            </w:tblGrid>
            <w:tr w:rsidR="00B16DFE" w14:paraId="14235CC9" w14:textId="77777777">
              <w:tc>
                <w:tcPr>
                  <w:tcW w:w="0" w:type="auto"/>
                </w:tcPr>
                <w:p w14:paraId="62321A37" w14:textId="77777777" w:rsidR="00B16DFE" w:rsidRDefault="009F0859">
                  <w:pPr>
                    <w:spacing w:after="0" w:line="270" w:lineRule="atLeast"/>
                    <w:ind w:left="60"/>
                    <w:rPr>
                      <w:rFonts w:ascii="Arial" w:eastAsia="Arial" w:hAnsi="Arial" w:cs="Arial"/>
                      <w:b/>
                      <w:bCs/>
                      <w:color w:val="333333"/>
                      <w:spacing w:val="4"/>
                      <w:sz w:val="21"/>
                      <w:szCs w:val="21"/>
                    </w:rPr>
                  </w:pPr>
                  <w:r>
                    <w:rPr>
                      <w:rFonts w:ascii="Arial" w:eastAsia="Arial" w:hAnsi="Arial" w:cs="Arial"/>
                      <w:b/>
                      <w:bCs/>
                      <w:color w:val="333333"/>
                      <w:spacing w:val="4"/>
                      <w:sz w:val="21"/>
                      <w:szCs w:val="21"/>
                    </w:rPr>
                    <w:lastRenderedPageBreak/>
                    <w:t>Products &amp; Services Segmentation</w:t>
                  </w:r>
                </w:p>
                <w:p w14:paraId="3724A6E4" w14:textId="77777777" w:rsidR="00B16DFE" w:rsidRDefault="009F0859">
                  <w:pPr>
                    <w:spacing w:after="0" w:line="225" w:lineRule="atLeast"/>
                    <w:rPr>
                      <w:rFonts w:ascii="Arial" w:eastAsia="Arial" w:hAnsi="Arial" w:cs="Arial"/>
                      <w:sz w:val="16"/>
                      <w:szCs w:val="16"/>
                    </w:rPr>
                  </w:pPr>
                  <w:r>
                    <w:br/>
                  </w:r>
                  <w:r>
                    <w:rPr>
                      <w:noProof/>
                    </w:rPr>
                    <w:drawing>
                      <wp:inline distT="0" distB="0" distL="0" distR="0" wp14:anchorId="535F8131" wp14:editId="11EC1C81">
                        <wp:extent cx="6667500" cy="1111250"/>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39" cstate="print"/>
                                <a:stretch>
                                  <a:fillRect/>
                                </a:stretch>
                              </pic:blipFill>
                              <pic:spPr>
                                <a:xfrm>
                                  <a:off x="0" y="0"/>
                                  <a:ext cx="6667500" cy="1111250"/>
                                </a:xfrm>
                                <a:prstGeom prst="rect">
                                  <a:avLst/>
                                </a:prstGeom>
                              </pic:spPr>
                            </pic:pic>
                          </a:graphicData>
                        </a:graphic>
                      </wp:inline>
                    </w:drawing>
                  </w:r>
                </w:p>
              </w:tc>
            </w:tr>
          </w:tbl>
          <w:p w14:paraId="2BAB4A56" w14:textId="77777777" w:rsidR="00B16DFE" w:rsidRDefault="00B16DFE">
            <w:pPr>
              <w:spacing w:after="0" w:line="225" w:lineRule="atLeast"/>
              <w:rPr>
                <w:rFonts w:ascii="Arial" w:eastAsia="Arial" w:hAnsi="Arial" w:cs="Arial"/>
                <w:sz w:val="16"/>
                <w:szCs w:val="16"/>
              </w:rPr>
            </w:pPr>
          </w:p>
          <w:p w14:paraId="654F8B60" w14:textId="77777777" w:rsidR="00B16DFE" w:rsidRDefault="009F0859">
            <w:pPr>
              <w:pBdr>
                <w:top w:val="single" w:sz="9" w:space="0" w:color="D8DDEA"/>
              </w:pBdr>
              <w:spacing w:after="0" w:line="225" w:lineRule="atLeast"/>
              <w:rPr>
                <w:rFonts w:ascii="Arial" w:eastAsia="Arial" w:hAnsi="Arial" w:cs="Arial"/>
                <w:sz w:val="16"/>
                <w:szCs w:val="16"/>
              </w:rPr>
            </w:pPr>
            <w:r>
              <w:rPr>
                <w:rFonts w:ascii="Arial" w:eastAsia="Arial" w:hAnsi="Arial" w:cs="Arial"/>
                <w:sz w:val="16"/>
                <w:szCs w:val="16"/>
              </w:rPr>
              <w:t> </w:t>
            </w:r>
          </w:p>
          <w:tbl>
            <w:tblPr>
              <w:tblW w:w="5000" w:type="pct"/>
              <w:tblBorders>
                <w:top w:val="nil"/>
                <w:left w:val="nil"/>
                <w:bottom w:val="nil"/>
                <w:right w:val="nil"/>
                <w:insideH w:val="nil"/>
                <w:insideV w:val="nil"/>
              </w:tblBorders>
              <w:tblLook w:val="04A0" w:firstRow="1" w:lastRow="0" w:firstColumn="1" w:lastColumn="0" w:noHBand="0" w:noVBand="1"/>
            </w:tblPr>
            <w:tblGrid>
              <w:gridCol w:w="5466"/>
              <w:gridCol w:w="5161"/>
            </w:tblGrid>
            <w:tr w:rsidR="00B16DFE" w14:paraId="1A1528CF" w14:textId="77777777">
              <w:tc>
                <w:tcPr>
                  <w:tcW w:w="2500" w:type="pct"/>
                </w:tcPr>
                <w:p w14:paraId="37A2BC50" w14:textId="77777777" w:rsidR="00B16DFE" w:rsidRDefault="009F0859">
                  <w:pPr>
                    <w:spacing w:after="0" w:line="270" w:lineRule="atLeast"/>
                    <w:ind w:left="60"/>
                    <w:rPr>
                      <w:rFonts w:ascii="Arial" w:eastAsia="Arial" w:hAnsi="Arial" w:cs="Arial"/>
                      <w:b/>
                      <w:bCs/>
                      <w:color w:val="333333"/>
                      <w:spacing w:val="4"/>
                      <w:sz w:val="21"/>
                      <w:szCs w:val="21"/>
                    </w:rPr>
                  </w:pPr>
                  <w:r>
                    <w:rPr>
                      <w:rFonts w:ascii="Arial" w:eastAsia="Arial" w:hAnsi="Arial" w:cs="Arial"/>
                      <w:b/>
                      <w:bCs/>
                      <w:color w:val="333333"/>
                      <w:spacing w:val="4"/>
                      <w:sz w:val="21"/>
                      <w:szCs w:val="21"/>
                    </w:rPr>
                    <w:t>Major Players</w:t>
                  </w:r>
                </w:p>
                <w:p w14:paraId="791F2C1D" w14:textId="77777777" w:rsidR="00B16DFE" w:rsidRDefault="009F0859">
                  <w:pPr>
                    <w:spacing w:after="0" w:line="225" w:lineRule="atLeast"/>
                    <w:rPr>
                      <w:rFonts w:ascii="Arial" w:eastAsia="Arial" w:hAnsi="Arial" w:cs="Arial"/>
                      <w:sz w:val="16"/>
                      <w:szCs w:val="16"/>
                    </w:rPr>
                  </w:pPr>
                  <w:r>
                    <w:rPr>
                      <w:noProof/>
                    </w:rPr>
                    <w:drawing>
                      <wp:inline distT="0" distB="0" distL="0" distR="0" wp14:anchorId="2A0E4354" wp14:editId="0039A56B">
                        <wp:extent cx="3333750" cy="4762500"/>
                        <wp:effectExtent l="0" t="0" r="0" b="0"/>
                        <wp:docPr id="51" name="Picture 5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40" cstate="print"/>
                                <a:stretch>
                                  <a:fillRect/>
                                </a:stretch>
                              </pic:blipFill>
                              <pic:spPr>
                                <a:xfrm>
                                  <a:off x="0" y="0"/>
                                  <a:ext cx="3333750" cy="4762500"/>
                                </a:xfrm>
                                <a:prstGeom prst="rect">
                                  <a:avLst/>
                                </a:prstGeom>
                              </pic:spPr>
                            </pic:pic>
                          </a:graphicData>
                        </a:graphic>
                      </wp:inline>
                    </w:drawing>
                  </w:r>
                </w:p>
              </w:tc>
              <w:tc>
                <w:tcPr>
                  <w:tcW w:w="2500" w:type="pct"/>
                  <w:tcBorders>
                    <w:left w:val="single" w:sz="9" w:space="0" w:color="D8DDEA"/>
                  </w:tcBorders>
                </w:tcPr>
                <w:p w14:paraId="3BEC59AF" w14:textId="77777777" w:rsidR="00B16DFE" w:rsidRDefault="009F0859">
                  <w:pPr>
                    <w:spacing w:after="0" w:line="270" w:lineRule="atLeast"/>
                    <w:ind w:left="60"/>
                    <w:rPr>
                      <w:rFonts w:ascii="Arial" w:eastAsia="Arial" w:hAnsi="Arial" w:cs="Arial"/>
                      <w:b/>
                      <w:bCs/>
                      <w:color w:val="333333"/>
                      <w:spacing w:val="4"/>
                      <w:sz w:val="21"/>
                      <w:szCs w:val="21"/>
                    </w:rPr>
                  </w:pPr>
                  <w:r>
                    <w:rPr>
                      <w:rFonts w:ascii="Arial" w:eastAsia="Arial" w:hAnsi="Arial" w:cs="Arial"/>
                      <w:b/>
                      <w:bCs/>
                      <w:color w:val="333333"/>
                      <w:spacing w:val="4"/>
                      <w:sz w:val="21"/>
                      <w:szCs w:val="21"/>
                    </w:rPr>
                    <w:t>SWOT</w:t>
                  </w:r>
                </w:p>
                <w:p w14:paraId="75395FDE" w14:textId="77777777" w:rsidR="00B16DFE" w:rsidRDefault="00B16DFE">
                  <w:pPr>
                    <w:spacing w:after="0" w:line="225" w:lineRule="atLeast"/>
                    <w:rPr>
                      <w:rFonts w:ascii="Arial" w:eastAsia="Arial" w:hAnsi="Arial" w:cs="Arial"/>
                      <w:sz w:val="16"/>
                      <w:szCs w:val="16"/>
                    </w:rPr>
                  </w:pPr>
                </w:p>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876"/>
                    <w:gridCol w:w="4069"/>
                  </w:tblGrid>
                  <w:tr w:rsidR="00B16DFE" w14:paraId="09415E8F" w14:textId="77777777">
                    <w:trPr>
                      <w:tblCellSpacing w:w="30" w:type="dxa"/>
                    </w:trPr>
                    <w:tc>
                      <w:tcPr>
                        <w:tcW w:w="50" w:type="pct"/>
                        <w:vAlign w:val="center"/>
                      </w:tcPr>
                      <w:p w14:paraId="351FCAEC" w14:textId="77777777" w:rsidR="00B16DFE" w:rsidRDefault="009F0859">
                        <w:pPr>
                          <w:spacing w:after="0" w:line="225" w:lineRule="atLeast"/>
                          <w:rPr>
                            <w:rFonts w:ascii="Arial" w:eastAsia="Arial" w:hAnsi="Arial" w:cs="Arial"/>
                            <w:sz w:val="16"/>
                            <w:szCs w:val="16"/>
                          </w:rPr>
                        </w:pPr>
                        <w:r>
                          <w:rPr>
                            <w:noProof/>
                          </w:rPr>
                          <w:drawing>
                            <wp:inline distT="0" distB="0" distL="0" distR="0" wp14:anchorId="3E8B9A51" wp14:editId="0CABE1DC">
                              <wp:extent cx="361950" cy="352425"/>
                              <wp:effectExtent l="0" t="0" r="0" b="0"/>
                              <wp:docPr id="53" name="Picture 53" descr="Strengths"/>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41" cstate="print"/>
                                      <a:stretch>
                                        <a:fillRect/>
                                      </a:stretch>
                                    </pic:blipFill>
                                    <pic:spPr>
                                      <a:xfrm>
                                        <a:off x="0" y="0"/>
                                        <a:ext cx="361950" cy="352425"/>
                                      </a:xfrm>
                                      <a:prstGeom prst="rect">
                                        <a:avLst/>
                                      </a:prstGeom>
                                    </pic:spPr>
                                  </pic:pic>
                                </a:graphicData>
                              </a:graphic>
                            </wp:inline>
                          </w:drawing>
                        </w:r>
                      </w:p>
                    </w:tc>
                    <w:tc>
                      <w:tcPr>
                        <w:tcW w:w="2500" w:type="pct"/>
                        <w:vAlign w:val="center"/>
                      </w:tcPr>
                      <w:p w14:paraId="1FB8A291" w14:textId="77777777" w:rsidR="00B16DFE" w:rsidRDefault="009F0859">
                        <w:pPr>
                          <w:spacing w:after="0" w:line="240" w:lineRule="atLeast"/>
                          <w:rPr>
                            <w:rFonts w:ascii="Arial" w:eastAsia="Arial" w:hAnsi="Arial" w:cs="Arial"/>
                            <w:sz w:val="16"/>
                            <w:szCs w:val="16"/>
                          </w:rPr>
                        </w:pPr>
                        <w:r>
                          <w:rPr>
                            <w:rFonts w:ascii="Arial" w:eastAsia="Arial" w:hAnsi="Arial" w:cs="Arial"/>
                            <w:b/>
                            <w:bCs/>
                            <w:caps/>
                            <w:color w:val="B8860B"/>
                            <w:sz w:val="18"/>
                            <w:szCs w:val="18"/>
                          </w:rPr>
                          <w:t>Strengths</w:t>
                        </w:r>
                      </w:p>
                    </w:tc>
                  </w:tr>
                  <w:tr w:rsidR="00B16DFE" w14:paraId="2B18C8FE" w14:textId="77777777">
                    <w:trPr>
                      <w:tblCellSpacing w:w="30" w:type="dxa"/>
                    </w:trPr>
                    <w:tc>
                      <w:tcPr>
                        <w:tcW w:w="50" w:type="pct"/>
                        <w:vAlign w:val="center"/>
                      </w:tcPr>
                      <w:p w14:paraId="2BD54B2C"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30B1ABCE"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Low Imports</w:t>
                        </w:r>
                      </w:p>
                    </w:tc>
                  </w:tr>
                  <w:tr w:rsidR="00B16DFE" w14:paraId="6F52324F" w14:textId="77777777">
                    <w:trPr>
                      <w:tblCellSpacing w:w="30" w:type="dxa"/>
                    </w:trPr>
                    <w:tc>
                      <w:tcPr>
                        <w:tcW w:w="50" w:type="pct"/>
                        <w:vAlign w:val="center"/>
                      </w:tcPr>
                      <w:p w14:paraId="70E372DD"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60BA8A22"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High Revenue per Employee</w:t>
                        </w:r>
                      </w:p>
                    </w:tc>
                  </w:tr>
                  <w:tr w:rsidR="00B16DFE" w14:paraId="40C6DA12" w14:textId="77777777">
                    <w:trPr>
                      <w:tblCellSpacing w:w="30" w:type="dxa"/>
                    </w:trPr>
                    <w:tc>
                      <w:tcPr>
                        <w:tcW w:w="50" w:type="pct"/>
                        <w:vAlign w:val="center"/>
                      </w:tcPr>
                      <w:p w14:paraId="3F60F97C"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064FDC66"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r>
                  <w:tr w:rsidR="00B16DFE" w14:paraId="0B498F20" w14:textId="77777777">
                    <w:trPr>
                      <w:tblCellSpacing w:w="30" w:type="dxa"/>
                    </w:trPr>
                    <w:tc>
                      <w:tcPr>
                        <w:tcW w:w="50" w:type="pct"/>
                        <w:vAlign w:val="center"/>
                      </w:tcPr>
                      <w:p w14:paraId="27A8B40A" w14:textId="77777777" w:rsidR="00B16DFE" w:rsidRDefault="009F0859">
                        <w:pPr>
                          <w:spacing w:after="0" w:line="225" w:lineRule="atLeast"/>
                          <w:rPr>
                            <w:rFonts w:ascii="Arial" w:eastAsia="Arial" w:hAnsi="Arial" w:cs="Arial"/>
                            <w:sz w:val="16"/>
                            <w:szCs w:val="16"/>
                          </w:rPr>
                        </w:pPr>
                        <w:r>
                          <w:rPr>
                            <w:noProof/>
                          </w:rPr>
                          <w:drawing>
                            <wp:inline distT="0" distB="0" distL="0" distR="0" wp14:anchorId="39045AE9" wp14:editId="77207A01">
                              <wp:extent cx="361950" cy="352425"/>
                              <wp:effectExtent l="0" t="0" r="0" b="0"/>
                              <wp:docPr id="55" name="Picture 55" descr="Weaknesses"/>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42" cstate="print"/>
                                      <a:stretch>
                                        <a:fillRect/>
                                      </a:stretch>
                                    </pic:blipFill>
                                    <pic:spPr>
                                      <a:xfrm>
                                        <a:off x="0" y="0"/>
                                        <a:ext cx="361950" cy="352425"/>
                                      </a:xfrm>
                                      <a:prstGeom prst="rect">
                                        <a:avLst/>
                                      </a:prstGeom>
                                    </pic:spPr>
                                  </pic:pic>
                                </a:graphicData>
                              </a:graphic>
                            </wp:inline>
                          </w:drawing>
                        </w:r>
                      </w:p>
                    </w:tc>
                    <w:tc>
                      <w:tcPr>
                        <w:tcW w:w="2500" w:type="pct"/>
                        <w:vAlign w:val="center"/>
                      </w:tcPr>
                      <w:p w14:paraId="0E0FB2C3" w14:textId="77777777" w:rsidR="00B16DFE" w:rsidRDefault="009F0859">
                        <w:pPr>
                          <w:spacing w:after="0" w:line="240" w:lineRule="atLeast"/>
                          <w:rPr>
                            <w:rFonts w:ascii="Arial" w:eastAsia="Arial" w:hAnsi="Arial" w:cs="Arial"/>
                            <w:sz w:val="16"/>
                            <w:szCs w:val="16"/>
                          </w:rPr>
                        </w:pPr>
                        <w:r>
                          <w:rPr>
                            <w:rFonts w:ascii="Arial" w:eastAsia="Arial" w:hAnsi="Arial" w:cs="Arial"/>
                            <w:b/>
                            <w:bCs/>
                            <w:caps/>
                            <w:color w:val="87004F"/>
                            <w:sz w:val="18"/>
                            <w:szCs w:val="18"/>
                          </w:rPr>
                          <w:t>Weaknesses</w:t>
                        </w:r>
                      </w:p>
                    </w:tc>
                  </w:tr>
                  <w:tr w:rsidR="00B16DFE" w14:paraId="00315FB9" w14:textId="77777777">
                    <w:trPr>
                      <w:tblCellSpacing w:w="30" w:type="dxa"/>
                    </w:trPr>
                    <w:tc>
                      <w:tcPr>
                        <w:tcW w:w="50" w:type="pct"/>
                        <w:vAlign w:val="center"/>
                      </w:tcPr>
                      <w:p w14:paraId="20047F84"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679CA9F7"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Low &amp; Steady Barriers to Entry</w:t>
                        </w:r>
                      </w:p>
                    </w:tc>
                  </w:tr>
                  <w:tr w:rsidR="00B16DFE" w14:paraId="0C7185B4" w14:textId="77777777">
                    <w:trPr>
                      <w:tblCellSpacing w:w="30" w:type="dxa"/>
                    </w:trPr>
                    <w:tc>
                      <w:tcPr>
                        <w:tcW w:w="50" w:type="pct"/>
                        <w:vAlign w:val="center"/>
                      </w:tcPr>
                      <w:p w14:paraId="0131DA68"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709482F9"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Low &amp; Steady Level of Assistance</w:t>
                        </w:r>
                      </w:p>
                    </w:tc>
                  </w:tr>
                  <w:tr w:rsidR="00B16DFE" w14:paraId="72537DF8" w14:textId="77777777">
                    <w:trPr>
                      <w:tblCellSpacing w:w="30" w:type="dxa"/>
                    </w:trPr>
                    <w:tc>
                      <w:tcPr>
                        <w:tcW w:w="50" w:type="pct"/>
                        <w:vAlign w:val="center"/>
                      </w:tcPr>
                      <w:p w14:paraId="7A231132"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2E579DF5"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High Competition</w:t>
                        </w:r>
                      </w:p>
                    </w:tc>
                  </w:tr>
                  <w:tr w:rsidR="00B16DFE" w14:paraId="04293123" w14:textId="77777777">
                    <w:trPr>
                      <w:tblCellSpacing w:w="30" w:type="dxa"/>
                    </w:trPr>
                    <w:tc>
                      <w:tcPr>
                        <w:tcW w:w="50" w:type="pct"/>
                        <w:vAlign w:val="center"/>
                      </w:tcPr>
                      <w:p w14:paraId="08147541"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13E2F04B"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Low </w:t>
                        </w:r>
                        <w:r>
                          <w:rPr>
                            <w:rFonts w:ascii="Arial" w:eastAsia="Arial" w:hAnsi="Arial" w:cs="Arial"/>
                            <w:sz w:val="16"/>
                            <w:szCs w:val="16"/>
                          </w:rPr>
                          <w:t>Profit vs. Sector Average</w:t>
                        </w:r>
                      </w:p>
                    </w:tc>
                  </w:tr>
                  <w:tr w:rsidR="00B16DFE" w14:paraId="034F03A0" w14:textId="77777777">
                    <w:trPr>
                      <w:tblCellSpacing w:w="30" w:type="dxa"/>
                    </w:trPr>
                    <w:tc>
                      <w:tcPr>
                        <w:tcW w:w="50" w:type="pct"/>
                        <w:vAlign w:val="center"/>
                      </w:tcPr>
                      <w:p w14:paraId="3B4EAE8F"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548B692F"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High Customer Class Concentration</w:t>
                        </w:r>
                      </w:p>
                    </w:tc>
                  </w:tr>
                  <w:tr w:rsidR="00B16DFE" w14:paraId="354B0322" w14:textId="77777777">
                    <w:trPr>
                      <w:tblCellSpacing w:w="30" w:type="dxa"/>
                    </w:trPr>
                    <w:tc>
                      <w:tcPr>
                        <w:tcW w:w="50" w:type="pct"/>
                        <w:vAlign w:val="center"/>
                      </w:tcPr>
                      <w:p w14:paraId="094AB28C"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11B058CA"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High Product/Service Concentration</w:t>
                        </w:r>
                      </w:p>
                    </w:tc>
                  </w:tr>
                  <w:tr w:rsidR="00B16DFE" w14:paraId="243F8496" w14:textId="77777777">
                    <w:trPr>
                      <w:tblCellSpacing w:w="30" w:type="dxa"/>
                    </w:trPr>
                    <w:tc>
                      <w:tcPr>
                        <w:tcW w:w="50" w:type="pct"/>
                        <w:vAlign w:val="center"/>
                      </w:tcPr>
                      <w:p w14:paraId="19C3FE11"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0EF691AE"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High Capital Requirements</w:t>
                        </w:r>
                      </w:p>
                    </w:tc>
                  </w:tr>
                  <w:tr w:rsidR="00B16DFE" w14:paraId="5F94A3C3" w14:textId="77777777">
                    <w:trPr>
                      <w:tblCellSpacing w:w="30" w:type="dxa"/>
                    </w:trPr>
                    <w:tc>
                      <w:tcPr>
                        <w:tcW w:w="50" w:type="pct"/>
                        <w:vAlign w:val="center"/>
                      </w:tcPr>
                      <w:p w14:paraId="33CE2B73"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07659869"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r>
                  <w:tr w:rsidR="00B16DFE" w14:paraId="093D0734" w14:textId="77777777">
                    <w:trPr>
                      <w:tblCellSpacing w:w="30" w:type="dxa"/>
                    </w:trPr>
                    <w:tc>
                      <w:tcPr>
                        <w:tcW w:w="50" w:type="pct"/>
                        <w:vAlign w:val="center"/>
                      </w:tcPr>
                      <w:p w14:paraId="645B4718" w14:textId="77777777" w:rsidR="00B16DFE" w:rsidRDefault="009F0859">
                        <w:pPr>
                          <w:spacing w:after="0" w:line="225" w:lineRule="atLeast"/>
                          <w:rPr>
                            <w:rFonts w:ascii="Arial" w:eastAsia="Arial" w:hAnsi="Arial" w:cs="Arial"/>
                            <w:sz w:val="16"/>
                            <w:szCs w:val="16"/>
                          </w:rPr>
                        </w:pPr>
                        <w:r>
                          <w:rPr>
                            <w:noProof/>
                          </w:rPr>
                          <w:drawing>
                            <wp:inline distT="0" distB="0" distL="0" distR="0" wp14:anchorId="33F55EA4" wp14:editId="673C912B">
                              <wp:extent cx="361950" cy="352425"/>
                              <wp:effectExtent l="0" t="0" r="0" b="0"/>
                              <wp:docPr id="57" name="Picture 57" descr="Opportunities"/>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43" cstate="print"/>
                                      <a:stretch>
                                        <a:fillRect/>
                                      </a:stretch>
                                    </pic:blipFill>
                                    <pic:spPr>
                                      <a:xfrm>
                                        <a:off x="0" y="0"/>
                                        <a:ext cx="361950" cy="352425"/>
                                      </a:xfrm>
                                      <a:prstGeom prst="rect">
                                        <a:avLst/>
                                      </a:prstGeom>
                                    </pic:spPr>
                                  </pic:pic>
                                </a:graphicData>
                              </a:graphic>
                            </wp:inline>
                          </w:drawing>
                        </w:r>
                      </w:p>
                    </w:tc>
                    <w:tc>
                      <w:tcPr>
                        <w:tcW w:w="2500" w:type="pct"/>
                        <w:vAlign w:val="center"/>
                      </w:tcPr>
                      <w:p w14:paraId="1CC33E62" w14:textId="77777777" w:rsidR="00B16DFE" w:rsidRDefault="009F0859">
                        <w:pPr>
                          <w:spacing w:after="0" w:line="240" w:lineRule="atLeast"/>
                          <w:rPr>
                            <w:rFonts w:ascii="Arial" w:eastAsia="Arial" w:hAnsi="Arial" w:cs="Arial"/>
                            <w:sz w:val="16"/>
                            <w:szCs w:val="16"/>
                          </w:rPr>
                        </w:pPr>
                        <w:r>
                          <w:rPr>
                            <w:rFonts w:ascii="Arial" w:eastAsia="Arial" w:hAnsi="Arial" w:cs="Arial"/>
                            <w:b/>
                            <w:bCs/>
                            <w:caps/>
                            <w:color w:val="B40F4C"/>
                            <w:sz w:val="18"/>
                            <w:szCs w:val="18"/>
                          </w:rPr>
                          <w:t>Opportunities</w:t>
                        </w:r>
                      </w:p>
                    </w:tc>
                  </w:tr>
                  <w:tr w:rsidR="00B16DFE" w14:paraId="53C75A81" w14:textId="77777777">
                    <w:trPr>
                      <w:tblCellSpacing w:w="30" w:type="dxa"/>
                    </w:trPr>
                    <w:tc>
                      <w:tcPr>
                        <w:tcW w:w="50" w:type="pct"/>
                        <w:vAlign w:val="center"/>
                      </w:tcPr>
                      <w:p w14:paraId="054A01F4"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033999A1"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High Revenue Growth (2021-2026)</w:t>
                        </w:r>
                      </w:p>
                    </w:tc>
                  </w:tr>
                  <w:tr w:rsidR="00B16DFE" w14:paraId="61924196" w14:textId="77777777">
                    <w:trPr>
                      <w:tblCellSpacing w:w="30" w:type="dxa"/>
                    </w:trPr>
                    <w:tc>
                      <w:tcPr>
                        <w:tcW w:w="50" w:type="pct"/>
                        <w:vAlign w:val="center"/>
                      </w:tcPr>
                      <w:p w14:paraId="21E7D65E"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561793E9"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Consumer confidence index</w:t>
                        </w:r>
                      </w:p>
                    </w:tc>
                  </w:tr>
                  <w:tr w:rsidR="00B16DFE" w14:paraId="642560D6" w14:textId="77777777">
                    <w:trPr>
                      <w:tblCellSpacing w:w="30" w:type="dxa"/>
                    </w:trPr>
                    <w:tc>
                      <w:tcPr>
                        <w:tcW w:w="50" w:type="pct"/>
                        <w:vAlign w:val="center"/>
                      </w:tcPr>
                      <w:p w14:paraId="42EAFF91"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4C5B42FA"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r>
                  <w:tr w:rsidR="00B16DFE" w14:paraId="32C374EC" w14:textId="77777777">
                    <w:trPr>
                      <w:tblCellSpacing w:w="30" w:type="dxa"/>
                    </w:trPr>
                    <w:tc>
                      <w:tcPr>
                        <w:tcW w:w="50" w:type="pct"/>
                        <w:vAlign w:val="center"/>
                      </w:tcPr>
                      <w:p w14:paraId="0900E0CA" w14:textId="77777777" w:rsidR="00B16DFE" w:rsidRDefault="009F0859">
                        <w:pPr>
                          <w:spacing w:after="0" w:line="225" w:lineRule="atLeast"/>
                          <w:rPr>
                            <w:rFonts w:ascii="Arial" w:eastAsia="Arial" w:hAnsi="Arial" w:cs="Arial"/>
                            <w:sz w:val="16"/>
                            <w:szCs w:val="16"/>
                          </w:rPr>
                        </w:pPr>
                        <w:r>
                          <w:rPr>
                            <w:noProof/>
                          </w:rPr>
                          <w:drawing>
                            <wp:inline distT="0" distB="0" distL="0" distR="0" wp14:anchorId="199A056D" wp14:editId="44CEE22A">
                              <wp:extent cx="361950" cy="352425"/>
                              <wp:effectExtent l="0" t="0" r="0" b="0"/>
                              <wp:docPr id="59" name="Picture 59" descr="Threats"/>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44" cstate="print"/>
                                      <a:stretch>
                                        <a:fillRect/>
                                      </a:stretch>
                                    </pic:blipFill>
                                    <pic:spPr>
                                      <a:xfrm>
                                        <a:off x="0" y="0"/>
                                        <a:ext cx="361950" cy="352425"/>
                                      </a:xfrm>
                                      <a:prstGeom prst="rect">
                                        <a:avLst/>
                                      </a:prstGeom>
                                    </pic:spPr>
                                  </pic:pic>
                                </a:graphicData>
                              </a:graphic>
                            </wp:inline>
                          </w:drawing>
                        </w:r>
                      </w:p>
                    </w:tc>
                    <w:tc>
                      <w:tcPr>
                        <w:tcW w:w="2500" w:type="pct"/>
                        <w:vAlign w:val="center"/>
                      </w:tcPr>
                      <w:p w14:paraId="01BC6035" w14:textId="77777777" w:rsidR="00B16DFE" w:rsidRDefault="009F0859">
                        <w:pPr>
                          <w:spacing w:after="0" w:line="240" w:lineRule="atLeast"/>
                          <w:rPr>
                            <w:rFonts w:ascii="Arial" w:eastAsia="Arial" w:hAnsi="Arial" w:cs="Arial"/>
                            <w:sz w:val="16"/>
                            <w:szCs w:val="16"/>
                          </w:rPr>
                        </w:pPr>
                        <w:r>
                          <w:rPr>
                            <w:rFonts w:ascii="Arial" w:eastAsia="Arial" w:hAnsi="Arial" w:cs="Arial"/>
                            <w:b/>
                            <w:bCs/>
                            <w:caps/>
                            <w:color w:val="DD5F0C"/>
                            <w:sz w:val="18"/>
                            <w:szCs w:val="18"/>
                          </w:rPr>
                          <w:t>Threats</w:t>
                        </w:r>
                      </w:p>
                    </w:tc>
                  </w:tr>
                  <w:tr w:rsidR="00B16DFE" w14:paraId="095E48C5" w14:textId="77777777">
                    <w:trPr>
                      <w:tblCellSpacing w:w="30" w:type="dxa"/>
                    </w:trPr>
                    <w:tc>
                      <w:tcPr>
                        <w:tcW w:w="50" w:type="pct"/>
                        <w:vAlign w:val="center"/>
                      </w:tcPr>
                      <w:p w14:paraId="0F6946E6"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54D1A2C5"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xml:space="preserve">Very Low </w:t>
                        </w:r>
                        <w:r>
                          <w:rPr>
                            <w:rFonts w:ascii="Arial" w:eastAsia="Arial" w:hAnsi="Arial" w:cs="Arial"/>
                            <w:sz w:val="16"/>
                            <w:szCs w:val="16"/>
                          </w:rPr>
                          <w:t>Revenue Growth (2005-2021)</w:t>
                        </w:r>
                      </w:p>
                    </w:tc>
                  </w:tr>
                  <w:tr w:rsidR="00B16DFE" w14:paraId="76B1D432" w14:textId="77777777">
                    <w:trPr>
                      <w:tblCellSpacing w:w="30" w:type="dxa"/>
                    </w:trPr>
                    <w:tc>
                      <w:tcPr>
                        <w:tcW w:w="50" w:type="pct"/>
                        <w:vAlign w:val="center"/>
                      </w:tcPr>
                      <w:p w14:paraId="011A61F2"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6C2C331D"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Low Revenue Growth (2016-2021)</w:t>
                        </w:r>
                      </w:p>
                    </w:tc>
                  </w:tr>
                  <w:tr w:rsidR="00B16DFE" w14:paraId="2BF5FFFE" w14:textId="77777777">
                    <w:trPr>
                      <w:tblCellSpacing w:w="30" w:type="dxa"/>
                    </w:trPr>
                    <w:tc>
                      <w:tcPr>
                        <w:tcW w:w="50" w:type="pct"/>
                        <w:vAlign w:val="center"/>
                      </w:tcPr>
                      <w:p w14:paraId="1F2686DD"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24109A23"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Low Performance Drivers</w:t>
                        </w:r>
                      </w:p>
                    </w:tc>
                  </w:tr>
                  <w:tr w:rsidR="00B16DFE" w14:paraId="743C33C8" w14:textId="77777777">
                    <w:trPr>
                      <w:tblCellSpacing w:w="30" w:type="dxa"/>
                    </w:trPr>
                    <w:tc>
                      <w:tcPr>
                        <w:tcW w:w="50" w:type="pct"/>
                        <w:vAlign w:val="center"/>
                      </w:tcPr>
                      <w:p w14:paraId="176A6D7F"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vAlign w:val="center"/>
                      </w:tcPr>
                      <w:p w14:paraId="68F759C8"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Real household disposable income</w:t>
                        </w:r>
                      </w:p>
                    </w:tc>
                  </w:tr>
                </w:tbl>
                <w:p w14:paraId="449B6F99" w14:textId="77777777" w:rsidR="00B16DFE" w:rsidRDefault="00B16DFE"/>
              </w:tc>
            </w:tr>
          </w:tbl>
          <w:p w14:paraId="38CB5A14" w14:textId="77777777" w:rsidR="00B16DFE" w:rsidRDefault="00B16DFE"/>
        </w:tc>
      </w:tr>
    </w:tbl>
    <w:p w14:paraId="257B46A5" w14:textId="77777777" w:rsidR="00B16DFE" w:rsidRDefault="009F0859">
      <w:pPr>
        <w:spacing w:after="0" w:line="225" w:lineRule="atLeast"/>
        <w:rPr>
          <w:rFonts w:ascii="Arial" w:eastAsia="Arial" w:hAnsi="Arial" w:cs="Arial"/>
          <w:sz w:val="16"/>
          <w:szCs w:val="16"/>
        </w:rPr>
      </w:pPr>
      <w:r>
        <w:br/>
      </w:r>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62026650" w14:textId="77777777">
        <w:tc>
          <w:tcPr>
            <w:tcW w:w="1000" w:type="pct"/>
          </w:tcPr>
          <w:p w14:paraId="0551DBB9" w14:textId="77777777" w:rsidR="00B16DFE" w:rsidRDefault="009F0859">
            <w:pPr>
              <w:pStyle w:val="Heading2"/>
              <w:spacing w:before="0" w:line="270" w:lineRule="atLeast"/>
              <w:rPr>
                <w:rFonts w:ascii="Arial" w:eastAsia="Arial" w:hAnsi="Arial" w:cs="Arial"/>
                <w:color w:val="333333"/>
                <w:spacing w:val="4"/>
                <w:sz w:val="21"/>
                <w:szCs w:val="21"/>
              </w:rPr>
            </w:pPr>
            <w:bookmarkStart w:id="7" w:name="_Toc8"/>
            <w:r>
              <w:rPr>
                <w:rFonts w:ascii="Arial" w:eastAsia="Arial" w:hAnsi="Arial" w:cs="Arial"/>
                <w:color w:val="333333"/>
                <w:spacing w:val="4"/>
                <w:sz w:val="21"/>
                <w:szCs w:val="21"/>
              </w:rPr>
              <w:lastRenderedPageBreak/>
              <w:t>Executive Summary</w:t>
            </w:r>
            <w:bookmarkEnd w:id="7"/>
          </w:p>
        </w:tc>
        <w:tc>
          <w:tcPr>
            <w:tcW w:w="4000" w:type="pct"/>
          </w:tcPr>
          <w:p w14:paraId="3066E907" w14:textId="77777777" w:rsidR="00B16DFE" w:rsidRDefault="009F0859">
            <w:pPr>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 xml:space="preserve">The Travel Agencies industry is composed of agencies providing booking, reservation and </w:t>
            </w:r>
            <w:r>
              <w:rPr>
                <w:rFonts w:ascii="Arial" w:eastAsia="Arial" w:hAnsi="Arial" w:cs="Arial"/>
                <w:b/>
                <w:bCs/>
                <w:color w:val="7A1315"/>
                <w:sz w:val="24"/>
                <w:szCs w:val="24"/>
              </w:rPr>
              <w:t>information services to UK residents travelling domestically and internationally.</w:t>
            </w:r>
          </w:p>
          <w:p w14:paraId="77067A72" w14:textId="77777777" w:rsidR="00B16DFE" w:rsidRDefault="00B16DFE">
            <w:pPr>
              <w:spacing w:after="0" w:line="225" w:lineRule="atLeast"/>
              <w:rPr>
                <w:rFonts w:ascii="Arial" w:eastAsia="Arial" w:hAnsi="Arial" w:cs="Arial"/>
                <w:sz w:val="16"/>
                <w:szCs w:val="16"/>
              </w:rPr>
            </w:pPr>
          </w:p>
          <w:p w14:paraId="4E945D80"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 xml:space="preserve">The industry performed well over the first half of the past five-year period, as people continued to prioritise holidays, despite consumer confidence dipping and the </w:t>
            </w:r>
            <w:r>
              <w:rPr>
                <w:rFonts w:ascii="Arial" w:eastAsia="Arial" w:hAnsi="Arial" w:cs="Arial"/>
                <w:sz w:val="16"/>
                <w:szCs w:val="16"/>
              </w:rPr>
              <w:t xml:space="preserve">pound falling in value following the EU referendum in June 2016. However, the COVID-19 (coronavirus) outbreak and subsequent travel bans are expected to weigh on revenue over the two years through 2020-21. As a result, industry revenue is expected to fall </w:t>
            </w:r>
            <w:r>
              <w:rPr>
                <w:rFonts w:ascii="Arial" w:eastAsia="Arial" w:hAnsi="Arial" w:cs="Arial"/>
                <w:sz w:val="16"/>
                <w:szCs w:val="16"/>
              </w:rPr>
              <w:t>at a compound annual rate of 2.8% over the five years through 2020-21, including revenue decline of 20.4% in the current year, to £27.5 billion.</w:t>
            </w:r>
          </w:p>
          <w:p w14:paraId="2CD3DB88"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The heatwave in the summer of 2018 proved a challenge for the industry, with revenue growth slowing to 0.1% ove</w:t>
            </w:r>
            <w:r>
              <w:rPr>
                <w:rFonts w:ascii="Arial" w:eastAsia="Arial" w:hAnsi="Arial" w:cs="Arial"/>
                <w:sz w:val="16"/>
                <w:szCs w:val="16"/>
              </w:rPr>
              <w:t>r 2018-19, from a growth rate of 7.7% in the previous year. The weak pound contributed towards this fall in demand, although many people replaced overseas holidays with cheaper ‘staycations', which boosted domestic tourism. More consumers are choosing to m</w:t>
            </w:r>
            <w:r>
              <w:rPr>
                <w:rFonts w:ascii="Arial" w:eastAsia="Arial" w:hAnsi="Arial" w:cs="Arial"/>
                <w:sz w:val="16"/>
                <w:szCs w:val="16"/>
              </w:rPr>
              <w:t>ake online bookings directly, bypassing high-street agencies and putting pressure on industry operators. Rising external competition over the past five-year period has constrained the industry's performance and led to the exit of more bricks-and-mortar tra</w:t>
            </w:r>
            <w:r>
              <w:rPr>
                <w:rFonts w:ascii="Arial" w:eastAsia="Arial" w:hAnsi="Arial" w:cs="Arial"/>
                <w:sz w:val="16"/>
                <w:szCs w:val="16"/>
              </w:rPr>
              <w:t>vel agencies from the industry, and the collapse of the industry's second largest player, Thomas Cook, in September 2019. The coronavirus outbreak is expected to define the end of the period, with demand falling drastically during 2020-21.</w:t>
            </w:r>
          </w:p>
          <w:p w14:paraId="5699B6B0"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Over the five ye</w:t>
            </w:r>
            <w:r>
              <w:rPr>
                <w:rFonts w:ascii="Arial" w:eastAsia="Arial" w:hAnsi="Arial" w:cs="Arial"/>
                <w:sz w:val="16"/>
                <w:szCs w:val="16"/>
              </w:rPr>
              <w:t>ars through 2020-21, industry revenue is expected to grow at a compound annual rate of 4.8% to reach £34.7 billion. Rising real disposable incomes are expected to result in UK tourists taking longer, more expensive and more adventurous holidays, despite th</w:t>
            </w:r>
            <w:r>
              <w:rPr>
                <w:rFonts w:ascii="Arial" w:eastAsia="Arial" w:hAnsi="Arial" w:cs="Arial"/>
                <w:sz w:val="16"/>
                <w:szCs w:val="16"/>
              </w:rPr>
              <w:t>e value of the pound being forecast to remain low into the medium term. In the short term, demand for cheaper package holidays due to low consumer confidence is anticipated to support the industry once travel bans have been lifted, while changes to Air Pas</w:t>
            </w:r>
            <w:r>
              <w:rPr>
                <w:rFonts w:ascii="Arial" w:eastAsia="Arial" w:hAnsi="Arial" w:cs="Arial"/>
                <w:sz w:val="16"/>
                <w:szCs w:val="16"/>
              </w:rPr>
              <w:t>senger Duty are likely to have a positive effect on demand for long-haul travel. Travel agencies are expected to supplement their services by fully integrating their businesses with online platforms, challenging traditional agencies to provide higher quali</w:t>
            </w:r>
            <w:r>
              <w:rPr>
                <w:rFonts w:ascii="Arial" w:eastAsia="Arial" w:hAnsi="Arial" w:cs="Arial"/>
                <w:sz w:val="16"/>
                <w:szCs w:val="16"/>
              </w:rPr>
              <w:t>ty services.</w:t>
            </w:r>
          </w:p>
        </w:tc>
      </w:tr>
    </w:tbl>
    <w:p w14:paraId="111BE5E1" w14:textId="77777777" w:rsidR="00B16DFE" w:rsidRDefault="00B16DFE">
      <w:pPr>
        <w:sectPr w:rsidR="00B16DFE">
          <w:headerReference w:type="default" r:id="rId45"/>
          <w:footerReference w:type="default" r:id="rId46"/>
          <w:pgSz w:w="11907" w:h="16839" w:code="9"/>
          <w:pgMar w:top="640" w:right="640" w:bottom="640" w:left="640" w:header="0" w:footer="0" w:gutter="0"/>
          <w:cols w:space="708"/>
          <w:docGrid w:linePitch="360"/>
        </w:sectPr>
      </w:pPr>
    </w:p>
    <w:p w14:paraId="764EA1E8" w14:textId="77777777" w:rsidR="00B16DFE" w:rsidRDefault="009F0859">
      <w:pPr>
        <w:pStyle w:val="Heading1"/>
        <w:spacing w:before="0" w:after="240" w:line="420" w:lineRule="atLeast"/>
        <w:rPr>
          <w:rFonts w:ascii="Arial" w:eastAsia="Arial" w:hAnsi="Arial" w:cs="Arial"/>
          <w:b w:val="0"/>
          <w:bCs w:val="0"/>
          <w:color w:val="333333"/>
          <w:sz w:val="36"/>
          <w:szCs w:val="36"/>
        </w:rPr>
      </w:pPr>
      <w:bookmarkStart w:id="8" w:name="_Toc9"/>
      <w:r>
        <w:rPr>
          <w:rFonts w:ascii="Arial" w:eastAsia="Arial" w:hAnsi="Arial" w:cs="Arial"/>
          <w:b w:val="0"/>
          <w:bCs w:val="0"/>
          <w:color w:val="333333"/>
          <w:sz w:val="36"/>
          <w:szCs w:val="36"/>
        </w:rPr>
        <w:lastRenderedPageBreak/>
        <w:t>Industry Performance</w:t>
      </w:r>
      <w:bookmarkEnd w:id="8"/>
    </w:p>
    <w:tbl>
      <w:tblPr>
        <w:tblW w:w="5000" w:type="pct"/>
        <w:tblBorders>
          <w:top w:val="nil"/>
          <w:left w:val="nil"/>
          <w:bottom w:val="nil"/>
          <w:right w:val="nil"/>
          <w:insideH w:val="nil"/>
          <w:insideV w:val="nil"/>
        </w:tblBorders>
        <w:tblLook w:val="04A0" w:firstRow="1" w:lastRow="0" w:firstColumn="1" w:lastColumn="0" w:noHBand="0" w:noVBand="1"/>
      </w:tblPr>
      <w:tblGrid>
        <w:gridCol w:w="10843"/>
      </w:tblGrid>
      <w:tr w:rsidR="00B16DFE" w14:paraId="46F6D5A5" w14:textId="77777777">
        <w:tc>
          <w:tcPr>
            <w:tcW w:w="0" w:type="auto"/>
          </w:tcPr>
          <w:tbl>
            <w:tblPr>
              <w:tblW w:w="5000" w:type="pct"/>
              <w:tblBorders>
                <w:top w:val="nil"/>
                <w:left w:val="nil"/>
                <w:bottom w:val="nil"/>
                <w:right w:val="nil"/>
                <w:insideH w:val="nil"/>
                <w:insideV w:val="nil"/>
              </w:tblBorders>
              <w:tblLook w:val="04A0" w:firstRow="1" w:lastRow="0" w:firstColumn="1" w:lastColumn="0" w:noHBand="0" w:noVBand="1"/>
            </w:tblPr>
            <w:tblGrid>
              <w:gridCol w:w="10627"/>
            </w:tblGrid>
            <w:tr w:rsidR="00B16DFE" w14:paraId="1FD23EE6" w14:textId="77777777">
              <w:tc>
                <w:tcPr>
                  <w:tcW w:w="0" w:type="auto"/>
                </w:tcPr>
                <w:p w14:paraId="41A631D3"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4FC74E9B" wp14:editId="2C1F78FC">
                        <wp:extent cx="6667500" cy="3367424"/>
                        <wp:effectExtent l="0" t="0" r="0" b="0"/>
                        <wp:docPr id="61" name="Picture 6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47" cstate="print"/>
                                <a:stretch>
                                  <a:fillRect/>
                                </a:stretch>
                              </pic:blipFill>
                              <pic:spPr>
                                <a:xfrm>
                                  <a:off x="0" y="0"/>
                                  <a:ext cx="6667500" cy="3367424"/>
                                </a:xfrm>
                                <a:prstGeom prst="rect">
                                  <a:avLst/>
                                </a:prstGeom>
                              </pic:spPr>
                            </pic:pic>
                          </a:graphicData>
                        </a:graphic>
                      </wp:inline>
                    </w:drawing>
                  </w:r>
                </w:p>
              </w:tc>
            </w:tr>
          </w:tbl>
          <w:p w14:paraId="5FC3CFD3" w14:textId="77777777" w:rsidR="00B16DFE" w:rsidRDefault="00B16DFE">
            <w:pPr>
              <w:keepNext/>
              <w:keepLines/>
              <w:spacing w:after="0" w:line="225" w:lineRule="atLeast"/>
              <w:rPr>
                <w:rFonts w:ascii="Arial" w:eastAsia="Arial" w:hAnsi="Arial" w:cs="Arial"/>
                <w:sz w:val="16"/>
                <w:szCs w:val="16"/>
              </w:rPr>
            </w:pPr>
          </w:p>
          <w:tbl>
            <w:tblPr>
              <w:tblW w:w="5000" w:type="pct"/>
              <w:tblBorders>
                <w:top w:val="nil"/>
                <w:left w:val="nil"/>
                <w:bottom w:val="nil"/>
                <w:right w:val="nil"/>
                <w:insideH w:val="nil"/>
                <w:insideV w:val="nil"/>
              </w:tblBorders>
              <w:tblLook w:val="04A0" w:firstRow="1" w:lastRow="0" w:firstColumn="1" w:lastColumn="0" w:noHBand="0" w:noVBand="1"/>
            </w:tblPr>
            <w:tblGrid>
              <w:gridCol w:w="2125"/>
              <w:gridCol w:w="8502"/>
            </w:tblGrid>
            <w:tr w:rsidR="00B16DFE" w14:paraId="3404C3F9" w14:textId="77777777">
              <w:tc>
                <w:tcPr>
                  <w:tcW w:w="1000" w:type="pct"/>
                </w:tcPr>
                <w:p w14:paraId="7608BC6C" w14:textId="77777777" w:rsidR="00B16DFE" w:rsidRDefault="009F0859">
                  <w:pPr>
                    <w:pStyle w:val="Heading2"/>
                    <w:spacing w:before="0" w:line="270" w:lineRule="atLeast"/>
                    <w:rPr>
                      <w:rFonts w:ascii="Arial" w:eastAsia="Arial" w:hAnsi="Arial" w:cs="Arial"/>
                      <w:color w:val="333333"/>
                      <w:spacing w:val="4"/>
                      <w:sz w:val="21"/>
                      <w:szCs w:val="21"/>
                    </w:rPr>
                  </w:pPr>
                  <w:bookmarkStart w:id="9" w:name="_Toc10"/>
                  <w:r>
                    <w:rPr>
                      <w:rFonts w:ascii="Arial" w:eastAsia="Arial" w:hAnsi="Arial" w:cs="Arial"/>
                      <w:color w:val="333333"/>
                      <w:spacing w:val="4"/>
                      <w:sz w:val="21"/>
                      <w:szCs w:val="21"/>
                    </w:rPr>
                    <w:t xml:space="preserve">Key External </w:t>
                  </w:r>
                  <w:r>
                    <w:br/>
                  </w:r>
                  <w:r>
                    <w:rPr>
                      <w:rFonts w:ascii="Arial" w:eastAsia="Arial" w:hAnsi="Arial" w:cs="Arial"/>
                      <w:color w:val="333333"/>
                      <w:spacing w:val="4"/>
                      <w:sz w:val="21"/>
                      <w:szCs w:val="21"/>
                    </w:rPr>
                    <w:t>Drivers</w:t>
                  </w:r>
                  <w:bookmarkEnd w:id="9"/>
                </w:p>
              </w:tc>
              <w:tc>
                <w:tcPr>
                  <w:tcW w:w="4000" w:type="pct"/>
                </w:tcPr>
                <w:p w14:paraId="48317538"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Outbound tourism by UK residents</w:t>
                  </w:r>
                </w:p>
                <w:p w14:paraId="2C6AB418"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Changes in outbound travel by UK residents </w:t>
                  </w:r>
                  <w:r>
                    <w:rPr>
                      <w:rFonts w:ascii="Arial" w:eastAsia="Arial" w:hAnsi="Arial" w:cs="Arial"/>
                      <w:sz w:val="16"/>
                      <w:szCs w:val="16"/>
                    </w:rPr>
                    <w:t xml:space="preserve">directly influence industry activity and profitability as many of these people, particularly older or first-time travellers and those travelling to new and exotic destinations, often use travel agents for all or part of their bookings. Outbound tourism is </w:t>
                  </w:r>
                  <w:r>
                    <w:rPr>
                      <w:rFonts w:ascii="Arial" w:eastAsia="Arial" w:hAnsi="Arial" w:cs="Arial"/>
                      <w:sz w:val="16"/>
                      <w:szCs w:val="16"/>
                    </w:rPr>
                    <w:t>expected to decrease over 2020-21, due to travel bans following the COVID-19 (coronavirus) outbreak, posing a threat to industry operators.</w:t>
                  </w:r>
                </w:p>
                <w:p w14:paraId="148BD2E4" w14:textId="77777777" w:rsidR="00B16DFE" w:rsidRDefault="009F0859">
                  <w:pPr>
                    <w:keepNext/>
                    <w:keepLines/>
                    <w:pBdr>
                      <w:top w:val="single" w:sz="6" w:space="0" w:color="D8DDEA"/>
                    </w:pBdr>
                    <w:spacing w:before="60" w:after="60" w:line="15" w:lineRule="atLeast"/>
                    <w:rPr>
                      <w:rFonts w:ascii="Arial" w:eastAsia="Arial" w:hAnsi="Arial" w:cs="Arial"/>
                      <w:sz w:val="16"/>
                      <w:szCs w:val="16"/>
                    </w:rPr>
                  </w:pPr>
                  <w:r>
                    <w:rPr>
                      <w:rFonts w:ascii="Arial" w:eastAsia="Arial" w:hAnsi="Arial" w:cs="Arial"/>
                      <w:sz w:val="16"/>
                      <w:szCs w:val="16"/>
                    </w:rPr>
                    <w:t> </w:t>
                  </w:r>
                </w:p>
                <w:p w14:paraId="532623F5"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Real household disposable income</w:t>
                  </w:r>
                </w:p>
                <w:p w14:paraId="793E5181"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The level of real household disposable income affects consumers' ability to finan</w:t>
                  </w:r>
                  <w:r>
                    <w:rPr>
                      <w:rFonts w:ascii="Arial" w:eastAsia="Arial" w:hAnsi="Arial" w:cs="Arial"/>
                      <w:sz w:val="16"/>
                      <w:szCs w:val="16"/>
                    </w:rPr>
                    <w:t>ce travel. Higher levels of disposable income allow individuals to allocate more money to travel. Generally, this translates into more revenue for the industry. IBISWorld expects disposable incomes to fall in 2020-21, due to the economic effects of the cor</w:t>
                  </w:r>
                  <w:r>
                    <w:rPr>
                      <w:rFonts w:ascii="Arial" w:eastAsia="Arial" w:hAnsi="Arial" w:cs="Arial"/>
                      <w:sz w:val="16"/>
                      <w:szCs w:val="16"/>
                    </w:rPr>
                    <w:t>onavirus outbreak, though the decline is expected to be marginal, presenting a potential opportunity to the industry.</w:t>
                  </w:r>
                </w:p>
                <w:p w14:paraId="66C9CA75" w14:textId="77777777" w:rsidR="00B16DFE" w:rsidRDefault="009F0859">
                  <w:pPr>
                    <w:keepNext/>
                    <w:keepLines/>
                    <w:pBdr>
                      <w:top w:val="single" w:sz="6" w:space="0" w:color="D8DDEA"/>
                    </w:pBdr>
                    <w:spacing w:before="60" w:after="60" w:line="15" w:lineRule="atLeast"/>
                    <w:rPr>
                      <w:rFonts w:ascii="Arial" w:eastAsia="Arial" w:hAnsi="Arial" w:cs="Arial"/>
                      <w:sz w:val="16"/>
                      <w:szCs w:val="16"/>
                    </w:rPr>
                  </w:pPr>
                  <w:r>
                    <w:rPr>
                      <w:rFonts w:ascii="Arial" w:eastAsia="Arial" w:hAnsi="Arial" w:cs="Arial"/>
                      <w:sz w:val="16"/>
                      <w:szCs w:val="16"/>
                    </w:rPr>
                    <w:t> </w:t>
                  </w:r>
                </w:p>
                <w:p w14:paraId="6668C970"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Real effective exchange rate</w:t>
                  </w:r>
                </w:p>
                <w:p w14:paraId="5D04ACD8"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Changes in the strength of the pound, particularly relative to the US dollar and the euro, influence the re</w:t>
                  </w:r>
                  <w:r>
                    <w:rPr>
                      <w:rFonts w:ascii="Arial" w:eastAsia="Arial" w:hAnsi="Arial" w:cs="Arial"/>
                      <w:sz w:val="16"/>
                      <w:szCs w:val="16"/>
                    </w:rPr>
                    <w:t>lative cost, and therefore attractiveness, of travelling to certain destinations. A strong pound encourages Britons to travel overseas, which generates more revenue for the industry. The real effective exchange rate is expected to fall in 2020-21, discoura</w:t>
                  </w:r>
                  <w:r>
                    <w:rPr>
                      <w:rFonts w:ascii="Arial" w:eastAsia="Arial" w:hAnsi="Arial" w:cs="Arial"/>
                      <w:sz w:val="16"/>
                      <w:szCs w:val="16"/>
                    </w:rPr>
                    <w:t>ging UK residents from traveling abroad.</w:t>
                  </w:r>
                </w:p>
                <w:p w14:paraId="1767CE89" w14:textId="77777777" w:rsidR="00B16DFE" w:rsidRDefault="009F0859">
                  <w:pPr>
                    <w:keepNext/>
                    <w:keepLines/>
                    <w:pBdr>
                      <w:top w:val="single" w:sz="6" w:space="0" w:color="D8DDEA"/>
                    </w:pBdr>
                    <w:spacing w:before="60" w:after="60" w:line="15" w:lineRule="atLeast"/>
                    <w:rPr>
                      <w:rFonts w:ascii="Arial" w:eastAsia="Arial" w:hAnsi="Arial" w:cs="Arial"/>
                      <w:sz w:val="16"/>
                      <w:szCs w:val="16"/>
                    </w:rPr>
                  </w:pPr>
                  <w:r>
                    <w:rPr>
                      <w:rFonts w:ascii="Arial" w:eastAsia="Arial" w:hAnsi="Arial" w:cs="Arial"/>
                      <w:sz w:val="16"/>
                      <w:szCs w:val="16"/>
                    </w:rPr>
                    <w:t> </w:t>
                  </w:r>
                </w:p>
                <w:p w14:paraId="046B1F1C"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Total domestic tourism</w:t>
                  </w:r>
                </w:p>
                <w:p w14:paraId="1C9537A3"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The level of domestic travel that takes place affects industry revenue. The level of business travel is particularly important because business customers tend to use agencies to handle logis</w:t>
                  </w:r>
                  <w:r>
                    <w:rPr>
                      <w:rFonts w:ascii="Arial" w:eastAsia="Arial" w:hAnsi="Arial" w:cs="Arial"/>
                      <w:sz w:val="16"/>
                      <w:szCs w:val="16"/>
                    </w:rPr>
                    <w:t>tics, making travel easier and more convenient. Generally, the greater the level of domestic tourism, the more income the industry generates. In 2020-21, total domestic tourism is expected to decrease due to coronavirus-related lockdown restrictions put in</w:t>
                  </w:r>
                  <w:r>
                    <w:rPr>
                      <w:rFonts w:ascii="Arial" w:eastAsia="Arial" w:hAnsi="Arial" w:cs="Arial"/>
                      <w:sz w:val="16"/>
                      <w:szCs w:val="16"/>
                    </w:rPr>
                    <w:t xml:space="preserve"> place at the end of March 2020 until June 2020, which meant that UK residents were unable to travel around the country.</w:t>
                  </w:r>
                </w:p>
                <w:p w14:paraId="2384201D" w14:textId="77777777" w:rsidR="00B16DFE" w:rsidRDefault="009F0859">
                  <w:pPr>
                    <w:keepNext/>
                    <w:keepLines/>
                    <w:pBdr>
                      <w:top w:val="single" w:sz="6" w:space="0" w:color="D8DDEA"/>
                    </w:pBdr>
                    <w:spacing w:before="60" w:after="60" w:line="15" w:lineRule="atLeast"/>
                    <w:rPr>
                      <w:rFonts w:ascii="Arial" w:eastAsia="Arial" w:hAnsi="Arial" w:cs="Arial"/>
                      <w:sz w:val="16"/>
                      <w:szCs w:val="16"/>
                    </w:rPr>
                  </w:pPr>
                  <w:r>
                    <w:rPr>
                      <w:rFonts w:ascii="Arial" w:eastAsia="Arial" w:hAnsi="Arial" w:cs="Arial"/>
                      <w:sz w:val="16"/>
                      <w:szCs w:val="16"/>
                    </w:rPr>
                    <w:t> </w:t>
                  </w:r>
                </w:p>
                <w:p w14:paraId="1ED0BF58"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Consumer confidence index</w:t>
                  </w:r>
                </w:p>
                <w:p w14:paraId="49495F65"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Holidays are discretionary purchases, so demand for tours packaged by the industry generally rises in line </w:t>
                  </w:r>
                  <w:r>
                    <w:rPr>
                      <w:rFonts w:ascii="Arial" w:eastAsia="Arial" w:hAnsi="Arial" w:cs="Arial"/>
                      <w:sz w:val="16"/>
                      <w:szCs w:val="16"/>
                    </w:rPr>
                    <w:t>with heightened financial security and consumer confidence. Average tour expenditure is also likely to be higher if consumer confidence is strong. In 2020-21, consumer confidence is forecast to fall dramatically as a result of the coronavirus outbreak, lik</w:t>
                  </w:r>
                  <w:r>
                    <w:rPr>
                      <w:rFonts w:ascii="Arial" w:eastAsia="Arial" w:hAnsi="Arial" w:cs="Arial"/>
                      <w:sz w:val="16"/>
                      <w:szCs w:val="16"/>
                    </w:rPr>
                    <w:t>ely limiting demand.</w:t>
                  </w:r>
                </w:p>
                <w:p w14:paraId="1EDD8A06" w14:textId="77777777" w:rsidR="00B16DFE" w:rsidRDefault="009F0859">
                  <w:pPr>
                    <w:keepNext/>
                    <w:keepLines/>
                    <w:pBdr>
                      <w:top w:val="single" w:sz="6" w:space="0" w:color="D8DDEA"/>
                    </w:pBdr>
                    <w:spacing w:before="60" w:after="60" w:line="15" w:lineRule="atLeast"/>
                    <w:rPr>
                      <w:rFonts w:ascii="Arial" w:eastAsia="Arial" w:hAnsi="Arial" w:cs="Arial"/>
                      <w:sz w:val="16"/>
                      <w:szCs w:val="16"/>
                    </w:rPr>
                  </w:pPr>
                  <w:r>
                    <w:rPr>
                      <w:rFonts w:ascii="Arial" w:eastAsia="Arial" w:hAnsi="Arial" w:cs="Arial"/>
                      <w:sz w:val="16"/>
                      <w:szCs w:val="16"/>
                    </w:rPr>
                    <w:t> </w:t>
                  </w:r>
                </w:p>
              </w:tc>
            </w:tr>
          </w:tbl>
          <w:p w14:paraId="35DEFF59" w14:textId="77777777" w:rsidR="00B16DFE" w:rsidRDefault="00B16DFE"/>
        </w:tc>
      </w:tr>
      <w:tr w:rsidR="00B16DFE" w14:paraId="2A0D2E22" w14:textId="77777777">
        <w:tc>
          <w:tcPr>
            <w:tcW w:w="0" w:type="auto"/>
          </w:tcPr>
          <w:p w14:paraId="066EEC64" w14:textId="77777777" w:rsidR="00B16DFE" w:rsidRDefault="00B16DFE">
            <w:pPr>
              <w:keepNext/>
              <w:keepLines/>
              <w:spacing w:after="0" w:line="225" w:lineRule="atLeast"/>
              <w:rPr>
                <w:rFonts w:ascii="Arial" w:eastAsia="Arial" w:hAnsi="Arial" w:cs="Arial"/>
                <w:sz w:val="16"/>
                <w:szCs w:val="16"/>
              </w:rPr>
            </w:pPr>
          </w:p>
          <w:tbl>
            <w:tblPr>
              <w:tblW w:w="5000" w:type="pct"/>
              <w:tblBorders>
                <w:top w:val="nil"/>
                <w:left w:val="nil"/>
                <w:bottom w:val="nil"/>
                <w:right w:val="nil"/>
                <w:insideH w:val="nil"/>
                <w:insideV w:val="nil"/>
              </w:tblBorders>
              <w:tblLook w:val="04A0" w:firstRow="1" w:lastRow="0" w:firstColumn="1" w:lastColumn="0" w:noHBand="0" w:noVBand="1"/>
            </w:tblPr>
            <w:tblGrid>
              <w:gridCol w:w="10627"/>
            </w:tblGrid>
            <w:tr w:rsidR="00B16DFE" w14:paraId="18141227" w14:textId="77777777">
              <w:tc>
                <w:tcPr>
                  <w:tcW w:w="0" w:type="auto"/>
                </w:tcPr>
                <w:p w14:paraId="686F7CCF"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4E712BDF" wp14:editId="66ACD90F">
                        <wp:extent cx="6667500" cy="3704167"/>
                        <wp:effectExtent l="0" t="0" r="0" b="0"/>
                        <wp:docPr id="63" name="Picture 63"/>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48" cstate="print"/>
                                <a:stretch>
                                  <a:fillRect/>
                                </a:stretch>
                              </pic:blipFill>
                              <pic:spPr>
                                <a:xfrm>
                                  <a:off x="0" y="0"/>
                                  <a:ext cx="6667500" cy="3704167"/>
                                </a:xfrm>
                                <a:prstGeom prst="rect">
                                  <a:avLst/>
                                </a:prstGeom>
                              </pic:spPr>
                            </pic:pic>
                          </a:graphicData>
                        </a:graphic>
                      </wp:inline>
                    </w:drawing>
                  </w:r>
                </w:p>
              </w:tc>
            </w:tr>
          </w:tbl>
          <w:p w14:paraId="55092CCC" w14:textId="77777777" w:rsidR="00B16DFE" w:rsidRDefault="00B16DFE">
            <w:pPr>
              <w:keepNext/>
              <w:keepLines/>
              <w:spacing w:after="0" w:line="225" w:lineRule="atLeast"/>
              <w:rPr>
                <w:rFonts w:ascii="Arial" w:eastAsia="Arial" w:hAnsi="Arial" w:cs="Arial"/>
                <w:sz w:val="16"/>
                <w:szCs w:val="16"/>
              </w:rPr>
            </w:pPr>
          </w:p>
          <w:tbl>
            <w:tblPr>
              <w:tblW w:w="5000" w:type="pct"/>
              <w:tblBorders>
                <w:top w:val="nil"/>
                <w:left w:val="nil"/>
                <w:bottom w:val="nil"/>
                <w:right w:val="nil"/>
                <w:insideH w:val="nil"/>
                <w:insideV w:val="nil"/>
              </w:tblBorders>
              <w:tblLook w:val="04A0" w:firstRow="1" w:lastRow="0" w:firstColumn="1" w:lastColumn="0" w:noHBand="0" w:noVBand="1"/>
            </w:tblPr>
            <w:tblGrid>
              <w:gridCol w:w="2125"/>
              <w:gridCol w:w="8502"/>
            </w:tblGrid>
            <w:tr w:rsidR="00B16DFE" w14:paraId="7085551B" w14:textId="77777777">
              <w:tc>
                <w:tcPr>
                  <w:tcW w:w="1000" w:type="pct"/>
                </w:tcPr>
                <w:p w14:paraId="5C0864A6" w14:textId="77777777" w:rsidR="00B16DFE" w:rsidRDefault="009F0859">
                  <w:pPr>
                    <w:pStyle w:val="Heading2"/>
                    <w:spacing w:before="0" w:line="270" w:lineRule="atLeast"/>
                    <w:rPr>
                      <w:rFonts w:ascii="Arial" w:eastAsia="Arial" w:hAnsi="Arial" w:cs="Arial"/>
                      <w:color w:val="333333"/>
                      <w:spacing w:val="4"/>
                      <w:sz w:val="21"/>
                      <w:szCs w:val="21"/>
                    </w:rPr>
                  </w:pPr>
                  <w:bookmarkStart w:id="10" w:name="_Toc11"/>
                  <w:r>
                    <w:rPr>
                      <w:rFonts w:ascii="Arial" w:eastAsia="Arial" w:hAnsi="Arial" w:cs="Arial"/>
                      <w:color w:val="333333"/>
                      <w:spacing w:val="4"/>
                      <w:sz w:val="21"/>
                      <w:szCs w:val="21"/>
                    </w:rPr>
                    <w:t xml:space="preserve">Current </w:t>
                  </w:r>
                  <w:r>
                    <w:br/>
                  </w:r>
                  <w:r>
                    <w:rPr>
                      <w:rFonts w:ascii="Arial" w:eastAsia="Arial" w:hAnsi="Arial" w:cs="Arial"/>
                      <w:color w:val="333333"/>
                      <w:spacing w:val="4"/>
                      <w:sz w:val="21"/>
                      <w:szCs w:val="21"/>
                    </w:rPr>
                    <w:t>Performance</w:t>
                  </w:r>
                  <w:bookmarkEnd w:id="10"/>
                </w:p>
              </w:tc>
              <w:tc>
                <w:tcPr>
                  <w:tcW w:w="4000" w:type="pct"/>
                </w:tcPr>
                <w:p w14:paraId="490A2CA4"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The Travel Agencies industry generates revenue through commissions received, based on customers booking transport, accommodation and activities for their holiday through industry operators.</w:t>
                  </w:r>
                </w:p>
                <w:p w14:paraId="265F5E7B" w14:textId="77777777" w:rsidR="00B16DFE" w:rsidRDefault="00B16DFE">
                  <w:pPr>
                    <w:keepNext/>
                    <w:keepLines/>
                    <w:spacing w:after="0" w:line="225" w:lineRule="atLeast"/>
                    <w:rPr>
                      <w:rFonts w:ascii="Arial" w:eastAsia="Arial" w:hAnsi="Arial" w:cs="Arial"/>
                      <w:sz w:val="16"/>
                      <w:szCs w:val="16"/>
                    </w:rPr>
                  </w:pPr>
                </w:p>
                <w:p w14:paraId="33B8526D"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 xml:space="preserve">This </w:t>
                  </w:r>
                  <w:r>
                    <w:rPr>
                      <w:rFonts w:ascii="Arial" w:eastAsia="Arial" w:hAnsi="Arial" w:cs="Arial"/>
                      <w:sz w:val="16"/>
                      <w:szCs w:val="16"/>
                    </w:rPr>
                    <w:t>makes revenue dependent on the number of UK residents going on holiday, and how much they are willing to spend. Economic conditions in the United Kingdom and abroad have a strong influence on these factors. Economic growth supported expansion at the beginn</w:t>
                  </w:r>
                  <w:r>
                    <w:rPr>
                      <w:rFonts w:ascii="Arial" w:eastAsia="Arial" w:hAnsi="Arial" w:cs="Arial"/>
                      <w:sz w:val="16"/>
                      <w:szCs w:val="16"/>
                    </w:rPr>
                    <w:t>ing of the past five-year period. Despite the EU referendum subduing economic activity, the industry fared well, and revenue grew by 7.7% in 2017-18. However, growth slowed in the following year, as the weak pound, combined with the heatwave in summer 2018</w:t>
                  </w:r>
                  <w:r>
                    <w:rPr>
                      <w:rFonts w:ascii="Arial" w:eastAsia="Arial" w:hAnsi="Arial" w:cs="Arial"/>
                      <w:sz w:val="16"/>
                      <w:szCs w:val="16"/>
                    </w:rPr>
                    <w:t>, reduced demand for holidays overseas. Industry revenue is expected to decline over the two years through 2020-21, as a direct result of the COVID-19 (coronavirus) pandemic, and subsequent travel restrictions put in place globally. Industry revenue is exp</w:t>
                  </w:r>
                  <w:r>
                    <w:rPr>
                      <w:rFonts w:ascii="Arial" w:eastAsia="Arial" w:hAnsi="Arial" w:cs="Arial"/>
                      <w:sz w:val="16"/>
                      <w:szCs w:val="16"/>
                    </w:rPr>
                    <w:t>ected to fall at a compound annual rate of 2.8% over the five years through 2020-21, including a revenue fall of 20.4% in the current year, to £27.5 billion.</w:t>
                  </w:r>
                </w:p>
                <w:p w14:paraId="413EECD9"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Current challenges</w:t>
                  </w:r>
                </w:p>
                <w:p w14:paraId="26112517"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The spread of the coronavirus is expected to take its toll on industry performa</w:t>
                  </w:r>
                  <w:r>
                    <w:rPr>
                      <w:rFonts w:ascii="Arial" w:eastAsia="Arial" w:hAnsi="Arial" w:cs="Arial"/>
                      <w:b/>
                      <w:bCs/>
                      <w:color w:val="7A1315"/>
                      <w:sz w:val="24"/>
                      <w:szCs w:val="24"/>
                    </w:rPr>
                    <w:t>nce in the current year.</w:t>
                  </w:r>
                </w:p>
                <w:p w14:paraId="7AC8982D" w14:textId="77777777" w:rsidR="00B16DFE" w:rsidRDefault="00B16DFE">
                  <w:pPr>
                    <w:keepNext/>
                    <w:keepLines/>
                    <w:spacing w:after="0" w:line="225" w:lineRule="atLeast"/>
                    <w:rPr>
                      <w:rFonts w:ascii="Arial" w:eastAsia="Arial" w:hAnsi="Arial" w:cs="Arial"/>
                      <w:sz w:val="16"/>
                      <w:szCs w:val="16"/>
                    </w:rPr>
                  </w:pPr>
                </w:p>
                <w:p w14:paraId="7C82F8B8"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 xml:space="preserve">On 29 January 2020, the Foreign, Commonwealth &amp; Development Office (FCDO) warned against ‘all but essential travel' to China and several countries, and the United Kingdom started to take precautionary measures to limit the spread </w:t>
                  </w:r>
                  <w:r>
                    <w:rPr>
                      <w:rFonts w:ascii="Arial" w:eastAsia="Arial" w:hAnsi="Arial" w:cs="Arial"/>
                      <w:sz w:val="16"/>
                      <w:szCs w:val="16"/>
                    </w:rPr>
                    <w:t>of the virus, including implementing travel bans, as well as imposing obligatory checks and quarantine measures of passengers travelling from high-risk areas such as Hong Kong and Italy. This was increased to all but essential international travel indefini</w:t>
                  </w:r>
                  <w:r>
                    <w:rPr>
                      <w:rFonts w:ascii="Arial" w:eastAsia="Arial" w:hAnsi="Arial" w:cs="Arial"/>
                      <w:sz w:val="16"/>
                      <w:szCs w:val="16"/>
                    </w:rPr>
                    <w:t>tely, from 4 April 2020. The industry has already been severely affected, as airlines have restricted the number of flights on offer, and consumers have withheld from booking holidays or cancelled existing plans altogether. Since July 2020, the FCDO has ch</w:t>
                  </w:r>
                  <w:r>
                    <w:rPr>
                      <w:rFonts w:ascii="Arial" w:eastAsia="Arial" w:hAnsi="Arial" w:cs="Arial"/>
                      <w:sz w:val="16"/>
                      <w:szCs w:val="16"/>
                    </w:rPr>
                    <w:t>anged this advice with some countries being put on a travel corridor list, meaning those coming into the United Kingdom from these destinations are exempt from a 14-day quarantine period. This has helped to support industry demand, though the re-introducti</w:t>
                  </w:r>
                  <w:r>
                    <w:rPr>
                      <w:rFonts w:ascii="Arial" w:eastAsia="Arial" w:hAnsi="Arial" w:cs="Arial"/>
                      <w:sz w:val="16"/>
                      <w:szCs w:val="16"/>
                    </w:rPr>
                    <w:t>on of quarantine requirements for some countries at short notice has constrained this rise in demand. Figures from the International Air Transport Association indicate that passenger demand in July 2020 continued at critically low levels of 79.8%, below Ju</w:t>
                  </w:r>
                  <w:r>
                    <w:rPr>
                      <w:rFonts w:ascii="Arial" w:eastAsia="Arial" w:hAnsi="Arial" w:cs="Arial"/>
                      <w:sz w:val="16"/>
                      <w:szCs w:val="16"/>
                    </w:rPr>
                    <w:t>ly 2019 levels. This was somewhat better than the 86.6% year-on-year decline recorded in June 2020. The implementation of travel restrictions, flight cancellation and lower demand is expected to weigh on industry revenue in the current year.</w:t>
                  </w:r>
                </w:p>
                <w:p w14:paraId="478CAD25"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Changing deman</w:t>
                  </w:r>
                  <w:r>
                    <w:rPr>
                      <w:rFonts w:ascii="Arial" w:eastAsia="Arial" w:hAnsi="Arial" w:cs="Arial"/>
                      <w:b/>
                      <w:bCs/>
                      <w:caps/>
                      <w:sz w:val="18"/>
                      <w:szCs w:val="18"/>
                    </w:rPr>
                    <w:t>d</w:t>
                  </w:r>
                </w:p>
                <w:p w14:paraId="7ADB397B"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 xml:space="preserve">Despite the value of the pound contracting after the EU referendum, </w:t>
                  </w:r>
                  <w:r>
                    <w:rPr>
                      <w:rFonts w:ascii="Arial" w:eastAsia="Arial" w:hAnsi="Arial" w:cs="Arial"/>
                      <w:b/>
                      <w:bCs/>
                      <w:color w:val="7A1315"/>
                      <w:sz w:val="24"/>
                      <w:szCs w:val="24"/>
                    </w:rPr>
                    <w:lastRenderedPageBreak/>
                    <w:t>revenue was sustained.</w:t>
                  </w:r>
                </w:p>
                <w:p w14:paraId="47392A1B" w14:textId="77777777" w:rsidR="00B16DFE" w:rsidRDefault="00B16DFE">
                  <w:pPr>
                    <w:keepNext/>
                    <w:keepLines/>
                    <w:spacing w:after="0" w:line="225" w:lineRule="atLeast"/>
                    <w:rPr>
                      <w:rFonts w:ascii="Arial" w:eastAsia="Arial" w:hAnsi="Arial" w:cs="Arial"/>
                      <w:sz w:val="16"/>
                      <w:szCs w:val="16"/>
                    </w:rPr>
                  </w:pPr>
                </w:p>
                <w:p w14:paraId="7711228D"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Nonetheless, growth slowed to 2.5% in 2016-17 from 3.1% the previous year, partially as UK residents opted for cheaper domestic holidays over international trips.</w:t>
                  </w:r>
                  <w:r>
                    <w:rPr>
                      <w:rFonts w:ascii="Arial" w:eastAsia="Arial" w:hAnsi="Arial" w:cs="Arial"/>
                      <w:sz w:val="16"/>
                      <w:szCs w:val="16"/>
                    </w:rPr>
                    <w:t xml:space="preserve"> According to the ABTA, the industry benefited from two strong years for domestic tourism in 2016 and 2017. </w:t>
                  </w:r>
                  <w:proofErr w:type="spellStart"/>
                  <w:r>
                    <w:rPr>
                      <w:rFonts w:ascii="Arial" w:eastAsia="Arial" w:hAnsi="Arial" w:cs="Arial"/>
                      <w:sz w:val="16"/>
                      <w:szCs w:val="16"/>
                    </w:rPr>
                    <w:t>Hoseasons</w:t>
                  </w:r>
                  <w:proofErr w:type="spellEnd"/>
                  <w:r>
                    <w:rPr>
                      <w:rFonts w:ascii="Arial" w:eastAsia="Arial" w:hAnsi="Arial" w:cs="Arial"/>
                      <w:sz w:val="16"/>
                      <w:szCs w:val="16"/>
                    </w:rPr>
                    <w:t>, a travel company that offers a wide range of holidays in the United Kingdom, saw bookings for domestic trips from millennials rise by 37%</w:t>
                  </w:r>
                  <w:r>
                    <w:rPr>
                      <w:rFonts w:ascii="Arial" w:eastAsia="Arial" w:hAnsi="Arial" w:cs="Arial"/>
                      <w:sz w:val="16"/>
                      <w:szCs w:val="16"/>
                    </w:rPr>
                    <w:t xml:space="preserve"> during the three years through 2018. The industry also benefited from an increase in foreign tourists coming to Britain to take advantage of the low pound, with 9% more visits in December 2018 than in December 2017. However, both these trends are expected</w:t>
                  </w:r>
                  <w:r>
                    <w:rPr>
                      <w:rFonts w:ascii="Arial" w:eastAsia="Arial" w:hAnsi="Arial" w:cs="Arial"/>
                      <w:sz w:val="16"/>
                      <w:szCs w:val="16"/>
                    </w:rPr>
                    <w:t xml:space="preserve"> to have slowed, with the number of domestic holidays taken by UK residents falling from 2.1 to 1.8 per person over 2018, and the rise in inbound tourism slowing to 1% more visits in July 2019, compared with July 2018.</w:t>
                  </w:r>
                </w:p>
                <w:p w14:paraId="676765C5"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Over 2017-18, inflation outstripped w</w:t>
                  </w:r>
                  <w:r>
                    <w:rPr>
                      <w:rFonts w:ascii="Arial" w:eastAsia="Arial" w:hAnsi="Arial" w:cs="Arial"/>
                      <w:sz w:val="16"/>
                      <w:szCs w:val="16"/>
                    </w:rPr>
                    <w:t>age growth, while consumer confidence continued to fall. This diminished demand for holidays, with the average number of holidays taken per person in the United Kingdom falling from 3.8 in 2017 to 3.4 in 2018, according to the ABTA. This decrease was drive</w:t>
                  </w:r>
                  <w:r>
                    <w:rPr>
                      <w:rFonts w:ascii="Arial" w:eastAsia="Arial" w:hAnsi="Arial" w:cs="Arial"/>
                      <w:sz w:val="16"/>
                      <w:szCs w:val="16"/>
                    </w:rPr>
                    <w:t xml:space="preserve">n by people taking fewer UK breaks and people taking fewer shorter breaks, at home and abroad. Nevertheless, </w:t>
                  </w:r>
                  <w:proofErr w:type="gramStart"/>
                  <w:r>
                    <w:rPr>
                      <w:rFonts w:ascii="Arial" w:eastAsia="Arial" w:hAnsi="Arial" w:cs="Arial"/>
                      <w:sz w:val="16"/>
                      <w:szCs w:val="16"/>
                    </w:rPr>
                    <w:t>both of these</w:t>
                  </w:r>
                  <w:proofErr w:type="gramEnd"/>
                  <w:r>
                    <w:rPr>
                      <w:rFonts w:ascii="Arial" w:eastAsia="Arial" w:hAnsi="Arial" w:cs="Arial"/>
                      <w:sz w:val="16"/>
                      <w:szCs w:val="16"/>
                    </w:rPr>
                    <w:t xml:space="preserve"> types of holiday have low demand for travel agents. As a result, industry revenue continued to grow over the year. In contrast, the n</w:t>
                  </w:r>
                  <w:r>
                    <w:rPr>
                      <w:rFonts w:ascii="Arial" w:eastAsia="Arial" w:hAnsi="Arial" w:cs="Arial"/>
                      <w:sz w:val="16"/>
                      <w:szCs w:val="16"/>
                    </w:rPr>
                    <w:t xml:space="preserve">umber of longer holidays abroad increased over the three years through 2018; the percentage of people taking foreign holidays in 2018 was the highest number since 2011. Low confidence is also expected to have altered consumer behaviour in respect to their </w:t>
                  </w:r>
                  <w:r>
                    <w:rPr>
                      <w:rFonts w:ascii="Arial" w:eastAsia="Arial" w:hAnsi="Arial" w:cs="Arial"/>
                      <w:sz w:val="16"/>
                      <w:szCs w:val="16"/>
                    </w:rPr>
                    <w:t>travel choices, as people have chosen to save money and spend it on one long trip rather than taking more short breaks.</w:t>
                  </w:r>
                </w:p>
                <w:p w14:paraId="04B81BCC"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Online bookings</w:t>
                  </w:r>
                </w:p>
                <w:p w14:paraId="260F23CC"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In 2020-21, online travel agents are expected to account for 65.2% of industry revenue.</w:t>
                  </w:r>
                </w:p>
                <w:p w14:paraId="2DDD15EA" w14:textId="77777777" w:rsidR="00B16DFE" w:rsidRDefault="00B16DFE">
                  <w:pPr>
                    <w:keepNext/>
                    <w:keepLines/>
                    <w:spacing w:after="0" w:line="225" w:lineRule="atLeast"/>
                    <w:rPr>
                      <w:rFonts w:ascii="Arial" w:eastAsia="Arial" w:hAnsi="Arial" w:cs="Arial"/>
                      <w:sz w:val="16"/>
                      <w:szCs w:val="16"/>
                    </w:rPr>
                  </w:pPr>
                </w:p>
                <w:p w14:paraId="159E6C74"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 xml:space="preserve">Greater internet access has </w:t>
                  </w:r>
                  <w:r>
                    <w:rPr>
                      <w:rFonts w:ascii="Arial" w:eastAsia="Arial" w:hAnsi="Arial" w:cs="Arial"/>
                      <w:sz w:val="16"/>
                      <w:szCs w:val="16"/>
                    </w:rPr>
                    <w:t>led to the industry adapting technology to reach markets directly. This process, termed disintermediation, eliminates many intermediaries that would otherwise impose a cost, boosting external competition for travel agencies.</w:t>
                  </w:r>
                </w:p>
                <w:p w14:paraId="79B36BB0"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Many large travel agents, inclu</w:t>
                  </w:r>
                  <w:r>
                    <w:rPr>
                      <w:rFonts w:ascii="Arial" w:eastAsia="Arial" w:hAnsi="Arial" w:cs="Arial"/>
                      <w:sz w:val="16"/>
                      <w:szCs w:val="16"/>
                    </w:rPr>
                    <w:t>ding TUI, have followed the prevailing trend and established booking websites under their own or other brands. This is expected to lead to the exit of more bricks-and-mortar travel agencies from the industry. However, high-street operators that have succes</w:t>
                  </w:r>
                  <w:r>
                    <w:rPr>
                      <w:rFonts w:ascii="Arial" w:eastAsia="Arial" w:hAnsi="Arial" w:cs="Arial"/>
                      <w:sz w:val="16"/>
                      <w:szCs w:val="16"/>
                    </w:rPr>
                    <w:t>sfully integrated their physical presence with online operations, by allowing consumers to check itineraries and add extras to their bookings, are still able to compete effectively. The rate of closures of high-street travel agencies slowed dramatically ov</w:t>
                  </w:r>
                  <w:r>
                    <w:rPr>
                      <w:rFonts w:ascii="Arial" w:eastAsia="Arial" w:hAnsi="Arial" w:cs="Arial"/>
                      <w:sz w:val="16"/>
                      <w:szCs w:val="16"/>
                    </w:rPr>
                    <w:t xml:space="preserve">er 2018-19, despite pressures on retailers and multiple high-profile closures of brand-name stores. The Local Data Company, a market research firm, reported that 87 agencies closed in 2018, in contrast with 2017 when 670 shut and travel agents were one of </w:t>
                  </w:r>
                  <w:r>
                    <w:rPr>
                      <w:rFonts w:ascii="Arial" w:eastAsia="Arial" w:hAnsi="Arial" w:cs="Arial"/>
                      <w:sz w:val="16"/>
                      <w:szCs w:val="16"/>
                    </w:rPr>
                    <w:t xml:space="preserve">the three fastest-declining sectors. Thomas Cook closed 200 shops over the two years through 2018 before their collapse in September 2019. However, </w:t>
                  </w:r>
                  <w:r>
                    <w:rPr>
                      <w:rFonts w:ascii="Arial" w:eastAsia="Arial" w:hAnsi="Arial" w:cs="Arial"/>
                      <w:i/>
                      <w:sz w:val="16"/>
                      <w:szCs w:val="16"/>
                    </w:rPr>
                    <w:t>Travel Weekly</w:t>
                  </w:r>
                  <w:r>
                    <w:rPr>
                      <w:rFonts w:ascii="Arial" w:eastAsia="Arial" w:hAnsi="Arial" w:cs="Arial"/>
                      <w:sz w:val="16"/>
                      <w:szCs w:val="16"/>
                    </w:rPr>
                    <w:t xml:space="preserve"> has reported a spate of agency openings, with Hays Travel opening six branches from January to</w:t>
                  </w:r>
                  <w:r>
                    <w:rPr>
                      <w:rFonts w:ascii="Arial" w:eastAsia="Arial" w:hAnsi="Arial" w:cs="Arial"/>
                      <w:sz w:val="16"/>
                      <w:szCs w:val="16"/>
                    </w:rPr>
                    <w:t xml:space="preserve"> April 2019, as well as agreeing to buy 553 of Thomas Cook's 563 UK stores.</w:t>
                  </w:r>
                </w:p>
                <w:p w14:paraId="73373F10"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In the current year, many bricks-and-mortar establishments are expected to close as operators move services online </w:t>
                  </w:r>
                  <w:proofErr w:type="gramStart"/>
                  <w:r>
                    <w:rPr>
                      <w:rFonts w:ascii="Arial" w:eastAsia="Arial" w:hAnsi="Arial" w:cs="Arial"/>
                      <w:sz w:val="16"/>
                      <w:szCs w:val="16"/>
                    </w:rPr>
                    <w:t>in an effort to</w:t>
                  </w:r>
                  <w:proofErr w:type="gramEnd"/>
                  <w:r>
                    <w:rPr>
                      <w:rFonts w:ascii="Arial" w:eastAsia="Arial" w:hAnsi="Arial" w:cs="Arial"/>
                      <w:sz w:val="16"/>
                      <w:szCs w:val="16"/>
                    </w:rPr>
                    <w:t xml:space="preserve"> cut costs in response to falling demand. The numb</w:t>
                  </w:r>
                  <w:r>
                    <w:rPr>
                      <w:rFonts w:ascii="Arial" w:eastAsia="Arial" w:hAnsi="Arial" w:cs="Arial"/>
                      <w:sz w:val="16"/>
                      <w:szCs w:val="16"/>
                    </w:rPr>
                    <w:t>er of enterprises is also expected to fall as smaller operators struggle to cope with the financial strain due to travel restrictions and are forced to exit the industry. Following a sharp drop in the current year, the number of establishments operating in</w:t>
                  </w:r>
                  <w:r>
                    <w:rPr>
                      <w:rFonts w:ascii="Arial" w:eastAsia="Arial" w:hAnsi="Arial" w:cs="Arial"/>
                      <w:sz w:val="16"/>
                      <w:szCs w:val="16"/>
                    </w:rPr>
                    <w:t xml:space="preserve"> the industry is expected to decline at a compound annual rate of 1% over the five years through 2020-21. Employment is expected to fall at a compound annual rate of 1.6% over the five years through 2020-21, due to a decline in the current year as operator</w:t>
                  </w:r>
                  <w:r>
                    <w:rPr>
                      <w:rFonts w:ascii="Arial" w:eastAsia="Arial" w:hAnsi="Arial" w:cs="Arial"/>
                      <w:sz w:val="16"/>
                      <w:szCs w:val="16"/>
                    </w:rPr>
                    <w:t>s are forced to let staff go amid drastically lower demand.</w:t>
                  </w:r>
                </w:p>
                <w:p w14:paraId="297B3A08"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Industry disruption</w:t>
                  </w:r>
                </w:p>
                <w:p w14:paraId="776E0A10"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The industry has contended with several external factors affecting consumer travel plans over the period.</w:t>
                  </w:r>
                </w:p>
                <w:p w14:paraId="5384FAC0" w14:textId="77777777" w:rsidR="00B16DFE" w:rsidRDefault="00B16DFE">
                  <w:pPr>
                    <w:keepNext/>
                    <w:keepLines/>
                    <w:spacing w:after="0" w:line="225" w:lineRule="atLeast"/>
                    <w:rPr>
                      <w:rFonts w:ascii="Arial" w:eastAsia="Arial" w:hAnsi="Arial" w:cs="Arial"/>
                      <w:sz w:val="16"/>
                      <w:szCs w:val="16"/>
                    </w:rPr>
                  </w:pPr>
                </w:p>
                <w:p w14:paraId="2F948A2B" w14:textId="77777777" w:rsidR="00B16DFE" w:rsidRDefault="009F0859">
                  <w:pPr>
                    <w:keepNext/>
                    <w:keepLines/>
                    <w:spacing w:after="240" w:line="225" w:lineRule="atLeast"/>
                    <w:rPr>
                      <w:rFonts w:ascii="Arial" w:eastAsia="Arial" w:hAnsi="Arial" w:cs="Arial"/>
                      <w:sz w:val="16"/>
                      <w:szCs w:val="16"/>
                    </w:rPr>
                  </w:pPr>
                  <w:r>
                    <w:rPr>
                      <w:rFonts w:ascii="Arial" w:eastAsia="Arial" w:hAnsi="Arial" w:cs="Arial"/>
                      <w:sz w:val="16"/>
                      <w:szCs w:val="16"/>
                    </w:rPr>
                    <w:t>These include the disturbance caused by terrorism and political unres</w:t>
                  </w:r>
                  <w:r>
                    <w:rPr>
                      <w:rFonts w:ascii="Arial" w:eastAsia="Arial" w:hAnsi="Arial" w:cs="Arial"/>
                      <w:sz w:val="16"/>
                      <w:szCs w:val="16"/>
                    </w:rPr>
                    <w:t>t in Turkey, Egypt and various North African countries. The terrorist attack in Tunisia in June 2015, which disproportionately affected British tourists, led to disruption for travel companies with exposure to the country. In addition, the collapse of Mona</w:t>
                  </w:r>
                  <w:r>
                    <w:rPr>
                      <w:rFonts w:ascii="Arial" w:eastAsia="Arial" w:hAnsi="Arial" w:cs="Arial"/>
                      <w:sz w:val="16"/>
                      <w:szCs w:val="16"/>
                    </w:rPr>
                    <w:t>rch Airlines in October 2017 and the cancellation of 18,000 flights by Ryanair between November 2017 and March 2018, are expected to have hindered travel agencies that booked flights through these airlines. Hot weather in the summer of 2018 also led to a l</w:t>
                  </w:r>
                  <w:r>
                    <w:rPr>
                      <w:rFonts w:ascii="Arial" w:eastAsia="Arial" w:hAnsi="Arial" w:cs="Arial"/>
                      <w:sz w:val="16"/>
                      <w:szCs w:val="16"/>
                    </w:rPr>
                    <w:t>arger profit decline than anticipated for some operators as fewer people chose to book last-minute holidays. The industry was rocked by the collapse of the second largest operator, Thomas Cook, who had been operating since 1841. TUI has suffered from simil</w:t>
                  </w:r>
                  <w:r>
                    <w:rPr>
                      <w:rFonts w:ascii="Arial" w:eastAsia="Arial" w:hAnsi="Arial" w:cs="Arial"/>
                      <w:sz w:val="16"/>
                      <w:szCs w:val="16"/>
                    </w:rPr>
                    <w:t>ar trends of fewer people using travel agencies. However, smaller debts have allowed the firm to continue operating, and it is expected to benefit from former Thomas Cook customers booking holidays at higher prices through their brand.</w:t>
                  </w:r>
                </w:p>
              </w:tc>
            </w:tr>
          </w:tbl>
          <w:p w14:paraId="461EE392" w14:textId="77777777" w:rsidR="00B16DFE" w:rsidRDefault="00B16DFE"/>
        </w:tc>
      </w:tr>
    </w:tbl>
    <w:p w14:paraId="56AF9CE0" w14:textId="77777777" w:rsidR="00B16DFE" w:rsidRDefault="009F0859">
      <w:pPr>
        <w:spacing w:after="0" w:line="225" w:lineRule="atLeast"/>
        <w:rPr>
          <w:rFonts w:ascii="Arial" w:eastAsia="Arial" w:hAnsi="Arial" w:cs="Arial"/>
          <w:sz w:val="16"/>
          <w:szCs w:val="16"/>
        </w:rPr>
      </w:pPr>
      <w:r>
        <w:lastRenderedPageBreak/>
        <w:br/>
      </w:r>
    </w:p>
    <w:tbl>
      <w:tblPr>
        <w:tblW w:w="5000" w:type="pct"/>
        <w:tblBorders>
          <w:top w:val="nil"/>
          <w:left w:val="nil"/>
          <w:bottom w:val="nil"/>
          <w:right w:val="nil"/>
          <w:insideH w:val="nil"/>
          <w:insideV w:val="nil"/>
        </w:tblBorders>
        <w:tblLook w:val="04A0" w:firstRow="1" w:lastRow="0" w:firstColumn="1" w:lastColumn="0" w:noHBand="0" w:noVBand="1"/>
      </w:tblPr>
      <w:tblGrid>
        <w:gridCol w:w="10843"/>
      </w:tblGrid>
      <w:tr w:rsidR="00B16DFE" w14:paraId="014FA272" w14:textId="77777777">
        <w:tc>
          <w:tcPr>
            <w:tcW w:w="0" w:type="auto"/>
          </w:tcPr>
          <w:p w14:paraId="2A222501" w14:textId="77777777" w:rsidR="00B16DFE" w:rsidRDefault="009F0859">
            <w:pPr>
              <w:keepNext/>
              <w:keepLines/>
              <w:shd w:val="clear" w:color="auto" w:fill="FAFAFA"/>
              <w:spacing w:before="120" w:after="0" w:line="240" w:lineRule="atLeast"/>
              <w:jc w:val="center"/>
              <w:rPr>
                <w:rFonts w:ascii="Arial" w:eastAsia="Arial" w:hAnsi="Arial" w:cs="Arial"/>
                <w:b/>
                <w:bCs/>
                <w:color w:val="333333"/>
                <w:spacing w:val="4"/>
                <w:sz w:val="21"/>
                <w:szCs w:val="21"/>
              </w:rPr>
            </w:pPr>
            <w:r>
              <w:rPr>
                <w:rFonts w:ascii="Arial" w:eastAsia="Arial" w:hAnsi="Arial" w:cs="Arial"/>
                <w:b/>
                <w:bCs/>
                <w:color w:val="333333"/>
                <w:spacing w:val="4"/>
                <w:sz w:val="21"/>
                <w:szCs w:val="21"/>
              </w:rPr>
              <w:t>Historical Performance Data</w:t>
            </w:r>
          </w:p>
          <w:tbl>
            <w:tblPr>
              <w:tblW w:w="0" w:type="auto"/>
              <w:tblCellSpacing w:w="0" w:type="dxa"/>
              <w:tblBorders>
                <w:top w:val="nil"/>
                <w:left w:val="nil"/>
                <w:bottom w:val="nil"/>
                <w:right w:val="nil"/>
                <w:insideH w:val="nil"/>
                <w:insideV w:val="nil"/>
              </w:tblBorders>
              <w:shd w:val="clear" w:color="auto" w:fill="FAFAFA"/>
              <w:tblLook w:val="04A0" w:firstRow="1" w:lastRow="0" w:firstColumn="1" w:lastColumn="0" w:noHBand="0" w:noVBand="1"/>
            </w:tblPr>
            <w:tblGrid>
              <w:gridCol w:w="649"/>
              <w:gridCol w:w="1091"/>
              <w:gridCol w:w="992"/>
              <w:gridCol w:w="1264"/>
              <w:gridCol w:w="1162"/>
              <w:gridCol w:w="1189"/>
              <w:gridCol w:w="1067"/>
              <w:gridCol w:w="1064"/>
              <w:gridCol w:w="1040"/>
              <w:gridCol w:w="1109"/>
            </w:tblGrid>
            <w:tr w:rsidR="00B16DFE" w14:paraId="62892B79" w14:textId="77777777">
              <w:trPr>
                <w:tblHeader/>
                <w:tblCellSpacing w:w="0" w:type="dxa"/>
              </w:trPr>
              <w:tc>
                <w:tcPr>
                  <w:tcW w:w="810" w:type="dxa"/>
                  <w:shd w:val="clear" w:color="auto" w:fill="FAFAFA"/>
                  <w:tcMar>
                    <w:top w:w="30" w:type="dxa"/>
                    <w:left w:w="0" w:type="dxa"/>
                    <w:bottom w:w="0" w:type="dxa"/>
                    <w:right w:w="0" w:type="dxa"/>
                  </w:tcMar>
                  <w:vAlign w:val="bottom"/>
                </w:tcPr>
                <w:p w14:paraId="7AF252DA"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Year</w:t>
                  </w:r>
                </w:p>
              </w:tc>
              <w:tc>
                <w:tcPr>
                  <w:tcW w:w="1350" w:type="dxa"/>
                  <w:shd w:val="clear" w:color="auto" w:fill="FAFAFA"/>
                  <w:tcMar>
                    <w:top w:w="30" w:type="dxa"/>
                    <w:left w:w="0" w:type="dxa"/>
                    <w:bottom w:w="0" w:type="dxa"/>
                    <w:right w:w="0" w:type="dxa"/>
                  </w:tcMar>
                  <w:vAlign w:val="bottom"/>
                </w:tcPr>
                <w:p w14:paraId="3D617DF1"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Revenue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60294D0F"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IVA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2B7E0F5E"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Establishments </w:t>
                  </w:r>
                  <w:r>
                    <w:br/>
                  </w:r>
                  <w:r>
                    <w:rPr>
                      <w:rFonts w:ascii="Arial" w:eastAsia="Arial" w:hAnsi="Arial" w:cs="Arial"/>
                      <w:b/>
                      <w:bCs/>
                      <w:sz w:val="15"/>
                      <w:szCs w:val="15"/>
                    </w:rPr>
                    <w:t>(Units)</w:t>
                  </w:r>
                </w:p>
              </w:tc>
              <w:tc>
                <w:tcPr>
                  <w:tcW w:w="1350" w:type="dxa"/>
                  <w:shd w:val="clear" w:color="auto" w:fill="FAFAFA"/>
                  <w:tcMar>
                    <w:top w:w="30" w:type="dxa"/>
                    <w:left w:w="0" w:type="dxa"/>
                    <w:bottom w:w="0" w:type="dxa"/>
                    <w:right w:w="0" w:type="dxa"/>
                  </w:tcMar>
                  <w:vAlign w:val="bottom"/>
                </w:tcPr>
                <w:p w14:paraId="1E20579A"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Enterprises </w:t>
                  </w:r>
                  <w:r>
                    <w:br/>
                  </w:r>
                  <w:r>
                    <w:rPr>
                      <w:rFonts w:ascii="Arial" w:eastAsia="Arial" w:hAnsi="Arial" w:cs="Arial"/>
                      <w:b/>
                      <w:bCs/>
                      <w:sz w:val="15"/>
                      <w:szCs w:val="15"/>
                    </w:rPr>
                    <w:t>(Units)</w:t>
                  </w:r>
                </w:p>
              </w:tc>
              <w:tc>
                <w:tcPr>
                  <w:tcW w:w="1350" w:type="dxa"/>
                  <w:shd w:val="clear" w:color="auto" w:fill="FAFAFA"/>
                  <w:tcMar>
                    <w:top w:w="30" w:type="dxa"/>
                    <w:left w:w="0" w:type="dxa"/>
                    <w:bottom w:w="0" w:type="dxa"/>
                    <w:right w:w="0" w:type="dxa"/>
                  </w:tcMar>
                  <w:vAlign w:val="bottom"/>
                </w:tcPr>
                <w:p w14:paraId="59CD693D"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Employment </w:t>
                  </w:r>
                  <w:r>
                    <w:br/>
                  </w:r>
                  <w:r>
                    <w:rPr>
                      <w:rFonts w:ascii="Arial" w:eastAsia="Arial" w:hAnsi="Arial" w:cs="Arial"/>
                      <w:b/>
                      <w:bCs/>
                      <w:sz w:val="15"/>
                      <w:szCs w:val="15"/>
                    </w:rPr>
                    <w:t>(Units)</w:t>
                  </w:r>
                </w:p>
              </w:tc>
              <w:tc>
                <w:tcPr>
                  <w:tcW w:w="1350" w:type="dxa"/>
                  <w:shd w:val="clear" w:color="auto" w:fill="FAFAFA"/>
                  <w:tcMar>
                    <w:top w:w="30" w:type="dxa"/>
                    <w:left w:w="0" w:type="dxa"/>
                    <w:bottom w:w="0" w:type="dxa"/>
                    <w:right w:w="0" w:type="dxa"/>
                  </w:tcMar>
                  <w:vAlign w:val="bottom"/>
                </w:tcPr>
                <w:p w14:paraId="384B2F23"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Exports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375C33B9"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Imports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67390A29"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Wages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1247AB74"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Domestic</w:t>
                  </w:r>
                  <w:r>
                    <w:br/>
                  </w:r>
                  <w:r>
                    <w:rPr>
                      <w:rFonts w:ascii="Arial" w:eastAsia="Arial" w:hAnsi="Arial" w:cs="Arial"/>
                      <w:b/>
                      <w:bCs/>
                      <w:sz w:val="15"/>
                      <w:szCs w:val="15"/>
                    </w:rPr>
                    <w:t xml:space="preserve">Demand </w:t>
                  </w:r>
                  <w:r>
                    <w:br/>
                  </w:r>
                  <w:r>
                    <w:rPr>
                      <w:rFonts w:ascii="Arial" w:eastAsia="Arial" w:hAnsi="Arial" w:cs="Arial"/>
                      <w:b/>
                      <w:bCs/>
                      <w:sz w:val="15"/>
                      <w:szCs w:val="15"/>
                    </w:rPr>
                    <w:t>(£m)</w:t>
                  </w:r>
                </w:p>
              </w:tc>
            </w:tr>
            <w:tr w:rsidR="00B16DFE" w14:paraId="2132077B" w14:textId="77777777">
              <w:trPr>
                <w:tblCellSpacing w:w="0" w:type="dxa"/>
              </w:trPr>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4355B2D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2011-12</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49BB0C4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30,314</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27D279F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4,082</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509D32A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7,271</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39ADD0B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3,847</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5C2BF8D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60,947</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1DF5D7C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7B62A87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12E563D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2,311</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05336EE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25913A99"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1755CDA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2012-13</w:t>
                  </w:r>
                </w:p>
              </w:tc>
              <w:tc>
                <w:tcPr>
                  <w:tcW w:w="0" w:type="auto"/>
                  <w:tcBorders>
                    <w:bottom w:val="single" w:sz="6" w:space="0" w:color="D8DDEA"/>
                  </w:tcBorders>
                  <w:shd w:val="clear" w:color="auto" w:fill="FAFAFA"/>
                  <w:tcMar>
                    <w:top w:w="15" w:type="dxa"/>
                    <w:left w:w="0" w:type="dxa"/>
                    <w:bottom w:w="15" w:type="dxa"/>
                    <w:right w:w="0" w:type="dxa"/>
                  </w:tcMar>
                  <w:vAlign w:val="center"/>
                </w:tcPr>
                <w:p w14:paraId="51C0577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29,517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5AE74B9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3,800</w:t>
                  </w:r>
                </w:p>
              </w:tc>
              <w:tc>
                <w:tcPr>
                  <w:tcW w:w="0" w:type="auto"/>
                  <w:tcBorders>
                    <w:bottom w:val="single" w:sz="6" w:space="0" w:color="D8DDEA"/>
                  </w:tcBorders>
                  <w:shd w:val="clear" w:color="auto" w:fill="FAFAFA"/>
                  <w:tcMar>
                    <w:top w:w="15" w:type="dxa"/>
                    <w:left w:w="0" w:type="dxa"/>
                    <w:bottom w:w="15" w:type="dxa"/>
                    <w:right w:w="0" w:type="dxa"/>
                  </w:tcMar>
                  <w:vAlign w:val="center"/>
                </w:tcPr>
                <w:p w14:paraId="764C9D6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7,426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743F4A5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3,794</w:t>
                  </w:r>
                </w:p>
              </w:tc>
              <w:tc>
                <w:tcPr>
                  <w:tcW w:w="0" w:type="auto"/>
                  <w:tcBorders>
                    <w:bottom w:val="single" w:sz="6" w:space="0" w:color="D8DDEA"/>
                  </w:tcBorders>
                  <w:shd w:val="clear" w:color="auto" w:fill="FAFAFA"/>
                  <w:tcMar>
                    <w:top w:w="15" w:type="dxa"/>
                    <w:left w:w="0" w:type="dxa"/>
                    <w:bottom w:w="15" w:type="dxa"/>
                    <w:right w:w="0" w:type="dxa"/>
                  </w:tcMar>
                  <w:vAlign w:val="center"/>
                </w:tcPr>
                <w:p w14:paraId="3B12CD6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58,835</w:t>
                  </w:r>
                </w:p>
              </w:tc>
              <w:tc>
                <w:tcPr>
                  <w:tcW w:w="0" w:type="auto"/>
                  <w:tcBorders>
                    <w:bottom w:val="single" w:sz="6" w:space="0" w:color="D8DDEA"/>
                  </w:tcBorders>
                  <w:shd w:val="clear" w:color="auto" w:fill="FAFAFA"/>
                  <w:tcMar>
                    <w:top w:w="15" w:type="dxa"/>
                    <w:left w:w="0" w:type="dxa"/>
                    <w:bottom w:w="15" w:type="dxa"/>
                    <w:right w:w="0" w:type="dxa"/>
                  </w:tcMar>
                  <w:vAlign w:val="center"/>
                </w:tcPr>
                <w:p w14:paraId="5B5FE43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8C37B2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4E58918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2,168</w:t>
                  </w:r>
                </w:p>
              </w:tc>
              <w:tc>
                <w:tcPr>
                  <w:tcW w:w="0" w:type="auto"/>
                  <w:tcBorders>
                    <w:bottom w:val="single" w:sz="6" w:space="0" w:color="D8DDEA"/>
                  </w:tcBorders>
                  <w:shd w:val="clear" w:color="auto" w:fill="FAFAFA"/>
                  <w:tcMar>
                    <w:top w:w="15" w:type="dxa"/>
                    <w:left w:w="0" w:type="dxa"/>
                    <w:bottom w:w="15" w:type="dxa"/>
                    <w:right w:w="0" w:type="dxa"/>
                  </w:tcMar>
                  <w:vAlign w:val="center"/>
                </w:tcPr>
                <w:p w14:paraId="36D5079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09F207E5"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4F81B40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2013-14</w:t>
                  </w:r>
                </w:p>
              </w:tc>
              <w:tc>
                <w:tcPr>
                  <w:tcW w:w="0" w:type="auto"/>
                  <w:tcBorders>
                    <w:bottom w:val="single" w:sz="6" w:space="0" w:color="D8DDEA"/>
                  </w:tcBorders>
                  <w:shd w:val="clear" w:color="auto" w:fill="FAFAFA"/>
                  <w:tcMar>
                    <w:top w:w="15" w:type="dxa"/>
                    <w:left w:w="0" w:type="dxa"/>
                    <w:bottom w:w="15" w:type="dxa"/>
                    <w:right w:w="0" w:type="dxa"/>
                  </w:tcMar>
                  <w:vAlign w:val="center"/>
                </w:tcPr>
                <w:p w14:paraId="3DE4767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29,551</w:t>
                  </w:r>
                </w:p>
              </w:tc>
              <w:tc>
                <w:tcPr>
                  <w:tcW w:w="0" w:type="auto"/>
                  <w:tcBorders>
                    <w:bottom w:val="single" w:sz="6" w:space="0" w:color="D8DDEA"/>
                  </w:tcBorders>
                  <w:shd w:val="clear" w:color="auto" w:fill="FAFAFA"/>
                  <w:tcMar>
                    <w:top w:w="15" w:type="dxa"/>
                    <w:left w:w="0" w:type="dxa"/>
                    <w:bottom w:w="15" w:type="dxa"/>
                    <w:right w:w="0" w:type="dxa"/>
                  </w:tcMar>
                  <w:vAlign w:val="center"/>
                </w:tcPr>
                <w:p w14:paraId="00A0973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4,000</w:t>
                  </w:r>
                </w:p>
              </w:tc>
              <w:tc>
                <w:tcPr>
                  <w:tcW w:w="0" w:type="auto"/>
                  <w:tcBorders>
                    <w:bottom w:val="single" w:sz="6" w:space="0" w:color="D8DDEA"/>
                  </w:tcBorders>
                  <w:shd w:val="clear" w:color="auto" w:fill="FAFAFA"/>
                  <w:tcMar>
                    <w:top w:w="15" w:type="dxa"/>
                    <w:left w:w="0" w:type="dxa"/>
                    <w:bottom w:w="15" w:type="dxa"/>
                    <w:right w:w="0" w:type="dxa"/>
                  </w:tcMar>
                  <w:vAlign w:val="center"/>
                </w:tcPr>
                <w:p w14:paraId="2BD6858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7,214</w:t>
                  </w:r>
                </w:p>
              </w:tc>
              <w:tc>
                <w:tcPr>
                  <w:tcW w:w="0" w:type="auto"/>
                  <w:tcBorders>
                    <w:bottom w:val="single" w:sz="6" w:space="0" w:color="D8DDEA"/>
                  </w:tcBorders>
                  <w:shd w:val="clear" w:color="auto" w:fill="FAFAFA"/>
                  <w:tcMar>
                    <w:top w:w="15" w:type="dxa"/>
                    <w:left w:w="0" w:type="dxa"/>
                    <w:bottom w:w="15" w:type="dxa"/>
                    <w:right w:w="0" w:type="dxa"/>
                  </w:tcMar>
                  <w:vAlign w:val="center"/>
                </w:tcPr>
                <w:p w14:paraId="5FCD76B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3,925</w:t>
                  </w:r>
                </w:p>
              </w:tc>
              <w:tc>
                <w:tcPr>
                  <w:tcW w:w="0" w:type="auto"/>
                  <w:tcBorders>
                    <w:bottom w:val="single" w:sz="6" w:space="0" w:color="D8DDEA"/>
                  </w:tcBorders>
                  <w:shd w:val="clear" w:color="auto" w:fill="FAFAFA"/>
                  <w:tcMar>
                    <w:top w:w="15" w:type="dxa"/>
                    <w:left w:w="0" w:type="dxa"/>
                    <w:bottom w:w="15" w:type="dxa"/>
                    <w:right w:w="0" w:type="dxa"/>
                  </w:tcMar>
                  <w:vAlign w:val="center"/>
                </w:tcPr>
                <w:p w14:paraId="68512F2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57,991</w:t>
                  </w:r>
                </w:p>
              </w:tc>
              <w:tc>
                <w:tcPr>
                  <w:tcW w:w="0" w:type="auto"/>
                  <w:tcBorders>
                    <w:bottom w:val="single" w:sz="6" w:space="0" w:color="D8DDEA"/>
                  </w:tcBorders>
                  <w:shd w:val="clear" w:color="auto" w:fill="FAFAFA"/>
                  <w:tcMar>
                    <w:top w:w="15" w:type="dxa"/>
                    <w:left w:w="0" w:type="dxa"/>
                    <w:bottom w:w="15" w:type="dxa"/>
                    <w:right w:w="0" w:type="dxa"/>
                  </w:tcMar>
                  <w:vAlign w:val="center"/>
                </w:tcPr>
                <w:p w14:paraId="0D8BB2E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435B34C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D05004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2,139</w:t>
                  </w:r>
                </w:p>
              </w:tc>
              <w:tc>
                <w:tcPr>
                  <w:tcW w:w="0" w:type="auto"/>
                  <w:tcBorders>
                    <w:bottom w:val="single" w:sz="6" w:space="0" w:color="D8DDEA"/>
                  </w:tcBorders>
                  <w:shd w:val="clear" w:color="auto" w:fill="FAFAFA"/>
                  <w:tcMar>
                    <w:top w:w="15" w:type="dxa"/>
                    <w:left w:w="0" w:type="dxa"/>
                    <w:bottom w:w="15" w:type="dxa"/>
                    <w:right w:w="0" w:type="dxa"/>
                  </w:tcMar>
                  <w:vAlign w:val="center"/>
                </w:tcPr>
                <w:p w14:paraId="63E9586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61D71EDF"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25259BC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2014-15</w:t>
                  </w:r>
                </w:p>
              </w:tc>
              <w:tc>
                <w:tcPr>
                  <w:tcW w:w="0" w:type="auto"/>
                  <w:tcBorders>
                    <w:bottom w:val="single" w:sz="6" w:space="0" w:color="D8DDEA"/>
                  </w:tcBorders>
                  <w:shd w:val="clear" w:color="auto" w:fill="FAFAFA"/>
                  <w:tcMar>
                    <w:top w:w="15" w:type="dxa"/>
                    <w:left w:w="0" w:type="dxa"/>
                    <w:bottom w:w="15" w:type="dxa"/>
                    <w:right w:w="0" w:type="dxa"/>
                  </w:tcMar>
                  <w:vAlign w:val="center"/>
                </w:tcPr>
                <w:p w14:paraId="2ED70FD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30,746</w:t>
                  </w:r>
                </w:p>
              </w:tc>
              <w:tc>
                <w:tcPr>
                  <w:tcW w:w="0" w:type="auto"/>
                  <w:tcBorders>
                    <w:bottom w:val="single" w:sz="6" w:space="0" w:color="D8DDEA"/>
                  </w:tcBorders>
                  <w:shd w:val="clear" w:color="auto" w:fill="FAFAFA"/>
                  <w:tcMar>
                    <w:top w:w="15" w:type="dxa"/>
                    <w:left w:w="0" w:type="dxa"/>
                    <w:bottom w:w="15" w:type="dxa"/>
                    <w:right w:w="0" w:type="dxa"/>
                  </w:tcMar>
                  <w:vAlign w:val="center"/>
                </w:tcPr>
                <w:p w14:paraId="0B879B6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4,037</w:t>
                  </w:r>
                </w:p>
              </w:tc>
              <w:tc>
                <w:tcPr>
                  <w:tcW w:w="0" w:type="auto"/>
                  <w:tcBorders>
                    <w:bottom w:val="single" w:sz="6" w:space="0" w:color="D8DDEA"/>
                  </w:tcBorders>
                  <w:shd w:val="clear" w:color="auto" w:fill="FAFAFA"/>
                  <w:tcMar>
                    <w:top w:w="15" w:type="dxa"/>
                    <w:left w:w="0" w:type="dxa"/>
                    <w:bottom w:w="15" w:type="dxa"/>
                    <w:right w:w="0" w:type="dxa"/>
                  </w:tcMar>
                  <w:vAlign w:val="center"/>
                </w:tcPr>
                <w:p w14:paraId="6C6262C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7,075</w:t>
                  </w:r>
                </w:p>
              </w:tc>
              <w:tc>
                <w:tcPr>
                  <w:tcW w:w="0" w:type="auto"/>
                  <w:tcBorders>
                    <w:bottom w:val="single" w:sz="6" w:space="0" w:color="D8DDEA"/>
                  </w:tcBorders>
                  <w:shd w:val="clear" w:color="auto" w:fill="FAFAFA"/>
                  <w:tcMar>
                    <w:top w:w="15" w:type="dxa"/>
                    <w:left w:w="0" w:type="dxa"/>
                    <w:bottom w:w="15" w:type="dxa"/>
                    <w:right w:w="0" w:type="dxa"/>
                  </w:tcMar>
                  <w:vAlign w:val="center"/>
                </w:tcPr>
                <w:p w14:paraId="1574B01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4,070</w:t>
                  </w:r>
                </w:p>
              </w:tc>
              <w:tc>
                <w:tcPr>
                  <w:tcW w:w="0" w:type="auto"/>
                  <w:tcBorders>
                    <w:bottom w:val="single" w:sz="6" w:space="0" w:color="D8DDEA"/>
                  </w:tcBorders>
                  <w:shd w:val="clear" w:color="auto" w:fill="FAFAFA"/>
                  <w:tcMar>
                    <w:top w:w="15" w:type="dxa"/>
                    <w:left w:w="0" w:type="dxa"/>
                    <w:bottom w:w="15" w:type="dxa"/>
                    <w:right w:w="0" w:type="dxa"/>
                  </w:tcMar>
                  <w:vAlign w:val="center"/>
                </w:tcPr>
                <w:p w14:paraId="3893E13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55,284</w:t>
                  </w:r>
                </w:p>
              </w:tc>
              <w:tc>
                <w:tcPr>
                  <w:tcW w:w="0" w:type="auto"/>
                  <w:tcBorders>
                    <w:bottom w:val="single" w:sz="6" w:space="0" w:color="D8DDEA"/>
                  </w:tcBorders>
                  <w:shd w:val="clear" w:color="auto" w:fill="FAFAFA"/>
                  <w:tcMar>
                    <w:top w:w="15" w:type="dxa"/>
                    <w:left w:w="0" w:type="dxa"/>
                    <w:bottom w:w="15" w:type="dxa"/>
                    <w:right w:w="0" w:type="dxa"/>
                  </w:tcMar>
                  <w:vAlign w:val="center"/>
                </w:tcPr>
                <w:p w14:paraId="1C3478D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40C92D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16B226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2,070</w:t>
                  </w:r>
                </w:p>
              </w:tc>
              <w:tc>
                <w:tcPr>
                  <w:tcW w:w="0" w:type="auto"/>
                  <w:tcBorders>
                    <w:bottom w:val="single" w:sz="6" w:space="0" w:color="D8DDEA"/>
                  </w:tcBorders>
                  <w:shd w:val="clear" w:color="auto" w:fill="FAFAFA"/>
                  <w:tcMar>
                    <w:top w:w="15" w:type="dxa"/>
                    <w:left w:w="0" w:type="dxa"/>
                    <w:bottom w:w="15" w:type="dxa"/>
                    <w:right w:w="0" w:type="dxa"/>
                  </w:tcMar>
                  <w:vAlign w:val="center"/>
                </w:tcPr>
                <w:p w14:paraId="56143F8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37EB1F1A"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14C84D9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2015-16</w:t>
                  </w:r>
                </w:p>
              </w:tc>
              <w:tc>
                <w:tcPr>
                  <w:tcW w:w="0" w:type="auto"/>
                  <w:tcBorders>
                    <w:bottom w:val="single" w:sz="6" w:space="0" w:color="D8DDEA"/>
                  </w:tcBorders>
                  <w:shd w:val="clear" w:color="auto" w:fill="FAFAFA"/>
                  <w:tcMar>
                    <w:top w:w="15" w:type="dxa"/>
                    <w:left w:w="0" w:type="dxa"/>
                    <w:bottom w:w="15" w:type="dxa"/>
                    <w:right w:w="0" w:type="dxa"/>
                  </w:tcMar>
                  <w:vAlign w:val="center"/>
                </w:tcPr>
                <w:p w14:paraId="635682D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31,701</w:t>
                  </w:r>
                </w:p>
              </w:tc>
              <w:tc>
                <w:tcPr>
                  <w:tcW w:w="0" w:type="auto"/>
                  <w:tcBorders>
                    <w:bottom w:val="single" w:sz="6" w:space="0" w:color="D8DDEA"/>
                  </w:tcBorders>
                  <w:shd w:val="clear" w:color="auto" w:fill="FAFAFA"/>
                  <w:tcMar>
                    <w:top w:w="15" w:type="dxa"/>
                    <w:left w:w="0" w:type="dxa"/>
                    <w:bottom w:w="15" w:type="dxa"/>
                    <w:right w:w="0" w:type="dxa"/>
                  </w:tcMar>
                  <w:vAlign w:val="center"/>
                </w:tcPr>
                <w:p w14:paraId="08E7114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4,364</w:t>
                  </w:r>
                </w:p>
              </w:tc>
              <w:tc>
                <w:tcPr>
                  <w:tcW w:w="0" w:type="auto"/>
                  <w:tcBorders>
                    <w:bottom w:val="single" w:sz="6" w:space="0" w:color="D8DDEA"/>
                  </w:tcBorders>
                  <w:shd w:val="clear" w:color="auto" w:fill="FAFAFA"/>
                  <w:tcMar>
                    <w:top w:w="15" w:type="dxa"/>
                    <w:left w:w="0" w:type="dxa"/>
                    <w:bottom w:w="15" w:type="dxa"/>
                    <w:right w:w="0" w:type="dxa"/>
                  </w:tcMar>
                  <w:vAlign w:val="center"/>
                </w:tcPr>
                <w:p w14:paraId="238FBFF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7,332</w:t>
                  </w:r>
                </w:p>
              </w:tc>
              <w:tc>
                <w:tcPr>
                  <w:tcW w:w="0" w:type="auto"/>
                  <w:tcBorders>
                    <w:bottom w:val="single" w:sz="6" w:space="0" w:color="D8DDEA"/>
                  </w:tcBorders>
                  <w:shd w:val="clear" w:color="auto" w:fill="FAFAFA"/>
                  <w:tcMar>
                    <w:top w:w="15" w:type="dxa"/>
                    <w:left w:w="0" w:type="dxa"/>
                    <w:bottom w:w="15" w:type="dxa"/>
                    <w:right w:w="0" w:type="dxa"/>
                  </w:tcMar>
                  <w:vAlign w:val="center"/>
                </w:tcPr>
                <w:p w14:paraId="5CC35BE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4,414</w:t>
                  </w:r>
                </w:p>
              </w:tc>
              <w:tc>
                <w:tcPr>
                  <w:tcW w:w="0" w:type="auto"/>
                  <w:tcBorders>
                    <w:bottom w:val="single" w:sz="6" w:space="0" w:color="D8DDEA"/>
                  </w:tcBorders>
                  <w:shd w:val="clear" w:color="auto" w:fill="FAFAFA"/>
                  <w:tcMar>
                    <w:top w:w="15" w:type="dxa"/>
                    <w:left w:w="0" w:type="dxa"/>
                    <w:bottom w:w="15" w:type="dxa"/>
                    <w:right w:w="0" w:type="dxa"/>
                  </w:tcMar>
                  <w:vAlign w:val="center"/>
                </w:tcPr>
                <w:p w14:paraId="4DA8FD6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56,801</w:t>
                  </w:r>
                </w:p>
              </w:tc>
              <w:tc>
                <w:tcPr>
                  <w:tcW w:w="0" w:type="auto"/>
                  <w:tcBorders>
                    <w:bottom w:val="single" w:sz="6" w:space="0" w:color="D8DDEA"/>
                  </w:tcBorders>
                  <w:shd w:val="clear" w:color="auto" w:fill="FAFAFA"/>
                  <w:tcMar>
                    <w:top w:w="15" w:type="dxa"/>
                    <w:left w:w="0" w:type="dxa"/>
                    <w:bottom w:w="15" w:type="dxa"/>
                    <w:right w:w="0" w:type="dxa"/>
                  </w:tcMar>
                  <w:vAlign w:val="center"/>
                </w:tcPr>
                <w:p w14:paraId="670E9F3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6FE639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84029B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2,213</w:t>
                  </w:r>
                </w:p>
              </w:tc>
              <w:tc>
                <w:tcPr>
                  <w:tcW w:w="0" w:type="auto"/>
                  <w:tcBorders>
                    <w:bottom w:val="single" w:sz="6" w:space="0" w:color="D8DDEA"/>
                  </w:tcBorders>
                  <w:shd w:val="clear" w:color="auto" w:fill="FAFAFA"/>
                  <w:tcMar>
                    <w:top w:w="15" w:type="dxa"/>
                    <w:left w:w="0" w:type="dxa"/>
                    <w:bottom w:w="15" w:type="dxa"/>
                    <w:right w:w="0" w:type="dxa"/>
                  </w:tcMar>
                  <w:vAlign w:val="center"/>
                </w:tcPr>
                <w:p w14:paraId="308D4DB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0D12D9C8"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214F61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2016-17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30F14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32,499</w:t>
                  </w:r>
                </w:p>
              </w:tc>
              <w:tc>
                <w:tcPr>
                  <w:tcW w:w="0" w:type="auto"/>
                  <w:tcBorders>
                    <w:bottom w:val="single" w:sz="6" w:space="0" w:color="D8DDEA"/>
                  </w:tcBorders>
                  <w:shd w:val="clear" w:color="auto" w:fill="FAFAFA"/>
                  <w:tcMar>
                    <w:top w:w="15" w:type="dxa"/>
                    <w:left w:w="0" w:type="dxa"/>
                    <w:bottom w:w="15" w:type="dxa"/>
                    <w:right w:w="0" w:type="dxa"/>
                  </w:tcMar>
                  <w:vAlign w:val="center"/>
                </w:tcPr>
                <w:p w14:paraId="35A4D10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4,612</w:t>
                  </w:r>
                </w:p>
              </w:tc>
              <w:tc>
                <w:tcPr>
                  <w:tcW w:w="0" w:type="auto"/>
                  <w:tcBorders>
                    <w:bottom w:val="single" w:sz="6" w:space="0" w:color="D8DDEA"/>
                  </w:tcBorders>
                  <w:shd w:val="clear" w:color="auto" w:fill="FAFAFA"/>
                  <w:tcMar>
                    <w:top w:w="15" w:type="dxa"/>
                    <w:left w:w="0" w:type="dxa"/>
                    <w:bottom w:w="15" w:type="dxa"/>
                    <w:right w:w="0" w:type="dxa"/>
                  </w:tcMar>
                  <w:vAlign w:val="center"/>
                </w:tcPr>
                <w:p w14:paraId="0EF33DF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7,511</w:t>
                  </w:r>
                </w:p>
              </w:tc>
              <w:tc>
                <w:tcPr>
                  <w:tcW w:w="0" w:type="auto"/>
                  <w:tcBorders>
                    <w:bottom w:val="single" w:sz="6" w:space="0" w:color="D8DDEA"/>
                  </w:tcBorders>
                  <w:shd w:val="clear" w:color="auto" w:fill="FAFAFA"/>
                  <w:tcMar>
                    <w:top w:w="15" w:type="dxa"/>
                    <w:left w:w="0" w:type="dxa"/>
                    <w:bottom w:w="15" w:type="dxa"/>
                    <w:right w:w="0" w:type="dxa"/>
                  </w:tcMar>
                  <w:vAlign w:val="center"/>
                </w:tcPr>
                <w:p w14:paraId="249D6A2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4,690</w:t>
                  </w:r>
                </w:p>
              </w:tc>
              <w:tc>
                <w:tcPr>
                  <w:tcW w:w="0" w:type="auto"/>
                  <w:tcBorders>
                    <w:bottom w:val="single" w:sz="6" w:space="0" w:color="D8DDEA"/>
                  </w:tcBorders>
                  <w:shd w:val="clear" w:color="auto" w:fill="FAFAFA"/>
                  <w:tcMar>
                    <w:top w:w="15" w:type="dxa"/>
                    <w:left w:w="0" w:type="dxa"/>
                    <w:bottom w:w="15" w:type="dxa"/>
                    <w:right w:w="0" w:type="dxa"/>
                  </w:tcMar>
                  <w:vAlign w:val="center"/>
                </w:tcPr>
                <w:p w14:paraId="45FE14D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57,190</w:t>
                  </w:r>
                </w:p>
              </w:tc>
              <w:tc>
                <w:tcPr>
                  <w:tcW w:w="0" w:type="auto"/>
                  <w:tcBorders>
                    <w:bottom w:val="single" w:sz="6" w:space="0" w:color="D8DDEA"/>
                  </w:tcBorders>
                  <w:shd w:val="clear" w:color="auto" w:fill="FAFAFA"/>
                  <w:tcMar>
                    <w:top w:w="15" w:type="dxa"/>
                    <w:left w:w="0" w:type="dxa"/>
                    <w:bottom w:w="15" w:type="dxa"/>
                    <w:right w:w="0" w:type="dxa"/>
                  </w:tcMar>
                  <w:vAlign w:val="center"/>
                </w:tcPr>
                <w:p w14:paraId="3F72383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BE2C9E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6697B4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2,272</w:t>
                  </w:r>
                </w:p>
              </w:tc>
              <w:tc>
                <w:tcPr>
                  <w:tcW w:w="0" w:type="auto"/>
                  <w:tcBorders>
                    <w:bottom w:val="single" w:sz="6" w:space="0" w:color="D8DDEA"/>
                  </w:tcBorders>
                  <w:shd w:val="clear" w:color="auto" w:fill="FAFAFA"/>
                  <w:tcMar>
                    <w:top w:w="15" w:type="dxa"/>
                    <w:left w:w="0" w:type="dxa"/>
                    <w:bottom w:w="15" w:type="dxa"/>
                    <w:right w:w="0" w:type="dxa"/>
                  </w:tcMar>
                  <w:vAlign w:val="center"/>
                </w:tcPr>
                <w:p w14:paraId="77AB98D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36264764"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27397C5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2017-18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6363CF4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35,015</w:t>
                  </w:r>
                </w:p>
              </w:tc>
              <w:tc>
                <w:tcPr>
                  <w:tcW w:w="0" w:type="auto"/>
                  <w:tcBorders>
                    <w:bottom w:val="single" w:sz="6" w:space="0" w:color="D8DDEA"/>
                  </w:tcBorders>
                  <w:shd w:val="clear" w:color="auto" w:fill="FAFAFA"/>
                  <w:tcMar>
                    <w:top w:w="15" w:type="dxa"/>
                    <w:left w:w="0" w:type="dxa"/>
                    <w:bottom w:w="15" w:type="dxa"/>
                    <w:right w:w="0" w:type="dxa"/>
                  </w:tcMar>
                  <w:vAlign w:val="center"/>
                </w:tcPr>
                <w:p w14:paraId="0714919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4,762</w:t>
                  </w:r>
                </w:p>
              </w:tc>
              <w:tc>
                <w:tcPr>
                  <w:tcW w:w="0" w:type="auto"/>
                  <w:tcBorders>
                    <w:bottom w:val="single" w:sz="6" w:space="0" w:color="D8DDEA"/>
                  </w:tcBorders>
                  <w:shd w:val="clear" w:color="auto" w:fill="FAFAFA"/>
                  <w:tcMar>
                    <w:top w:w="15" w:type="dxa"/>
                    <w:left w:w="0" w:type="dxa"/>
                    <w:bottom w:w="15" w:type="dxa"/>
                    <w:right w:w="0" w:type="dxa"/>
                  </w:tcMar>
                  <w:vAlign w:val="center"/>
                </w:tcPr>
                <w:p w14:paraId="3B21444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7,258</w:t>
                  </w:r>
                </w:p>
              </w:tc>
              <w:tc>
                <w:tcPr>
                  <w:tcW w:w="0" w:type="auto"/>
                  <w:tcBorders>
                    <w:bottom w:val="single" w:sz="6" w:space="0" w:color="D8DDEA"/>
                  </w:tcBorders>
                  <w:shd w:val="clear" w:color="auto" w:fill="FAFAFA"/>
                  <w:tcMar>
                    <w:top w:w="15" w:type="dxa"/>
                    <w:left w:w="0" w:type="dxa"/>
                    <w:bottom w:w="15" w:type="dxa"/>
                    <w:right w:w="0" w:type="dxa"/>
                  </w:tcMar>
                  <w:vAlign w:val="center"/>
                </w:tcPr>
                <w:p w14:paraId="064591D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4,565</w:t>
                  </w:r>
                </w:p>
              </w:tc>
              <w:tc>
                <w:tcPr>
                  <w:tcW w:w="0" w:type="auto"/>
                  <w:tcBorders>
                    <w:bottom w:val="single" w:sz="6" w:space="0" w:color="D8DDEA"/>
                  </w:tcBorders>
                  <w:shd w:val="clear" w:color="auto" w:fill="FAFAFA"/>
                  <w:tcMar>
                    <w:top w:w="15" w:type="dxa"/>
                    <w:left w:w="0" w:type="dxa"/>
                    <w:bottom w:w="15" w:type="dxa"/>
                    <w:right w:w="0" w:type="dxa"/>
                  </w:tcMar>
                  <w:vAlign w:val="center"/>
                </w:tcPr>
                <w:p w14:paraId="35F8BF7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58,449</w:t>
                  </w:r>
                </w:p>
              </w:tc>
              <w:tc>
                <w:tcPr>
                  <w:tcW w:w="0" w:type="auto"/>
                  <w:tcBorders>
                    <w:bottom w:val="single" w:sz="6" w:space="0" w:color="D8DDEA"/>
                  </w:tcBorders>
                  <w:shd w:val="clear" w:color="auto" w:fill="FAFAFA"/>
                  <w:tcMar>
                    <w:top w:w="15" w:type="dxa"/>
                    <w:left w:w="0" w:type="dxa"/>
                    <w:bottom w:w="15" w:type="dxa"/>
                    <w:right w:w="0" w:type="dxa"/>
                  </w:tcMar>
                  <w:vAlign w:val="center"/>
                </w:tcPr>
                <w:p w14:paraId="22D63AA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F96081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C237C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2,311</w:t>
                  </w:r>
                </w:p>
              </w:tc>
              <w:tc>
                <w:tcPr>
                  <w:tcW w:w="0" w:type="auto"/>
                  <w:tcBorders>
                    <w:bottom w:val="single" w:sz="6" w:space="0" w:color="D8DDEA"/>
                  </w:tcBorders>
                  <w:shd w:val="clear" w:color="auto" w:fill="FAFAFA"/>
                  <w:tcMar>
                    <w:top w:w="15" w:type="dxa"/>
                    <w:left w:w="0" w:type="dxa"/>
                    <w:bottom w:w="15" w:type="dxa"/>
                    <w:right w:w="0" w:type="dxa"/>
                  </w:tcMar>
                  <w:vAlign w:val="center"/>
                </w:tcPr>
                <w:p w14:paraId="7AE173D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63B412FC"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758D8F0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2018-19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52B51F9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35,038</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89BD1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4,421</w:t>
                  </w:r>
                </w:p>
              </w:tc>
              <w:tc>
                <w:tcPr>
                  <w:tcW w:w="0" w:type="auto"/>
                  <w:tcBorders>
                    <w:bottom w:val="single" w:sz="6" w:space="0" w:color="D8DDEA"/>
                  </w:tcBorders>
                  <w:shd w:val="clear" w:color="auto" w:fill="FAFAFA"/>
                  <w:tcMar>
                    <w:top w:w="15" w:type="dxa"/>
                    <w:left w:w="0" w:type="dxa"/>
                    <w:bottom w:w="15" w:type="dxa"/>
                    <w:right w:w="0" w:type="dxa"/>
                  </w:tcMar>
                  <w:vAlign w:val="center"/>
                </w:tcPr>
                <w:p w14:paraId="0428286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7,402</w:t>
                  </w:r>
                </w:p>
              </w:tc>
              <w:tc>
                <w:tcPr>
                  <w:tcW w:w="0" w:type="auto"/>
                  <w:tcBorders>
                    <w:bottom w:val="single" w:sz="6" w:space="0" w:color="D8DDEA"/>
                  </w:tcBorders>
                  <w:shd w:val="clear" w:color="auto" w:fill="FAFAFA"/>
                  <w:tcMar>
                    <w:top w:w="15" w:type="dxa"/>
                    <w:left w:w="0" w:type="dxa"/>
                    <w:bottom w:w="15" w:type="dxa"/>
                    <w:right w:w="0" w:type="dxa"/>
                  </w:tcMar>
                  <w:vAlign w:val="center"/>
                </w:tcPr>
                <w:p w14:paraId="13A1988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4,619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39647E7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60,027</w:t>
                  </w:r>
                </w:p>
              </w:tc>
              <w:tc>
                <w:tcPr>
                  <w:tcW w:w="0" w:type="auto"/>
                  <w:tcBorders>
                    <w:bottom w:val="single" w:sz="6" w:space="0" w:color="D8DDEA"/>
                  </w:tcBorders>
                  <w:shd w:val="clear" w:color="auto" w:fill="FAFAFA"/>
                  <w:tcMar>
                    <w:top w:w="15" w:type="dxa"/>
                    <w:left w:w="0" w:type="dxa"/>
                    <w:bottom w:w="15" w:type="dxa"/>
                    <w:right w:w="0" w:type="dxa"/>
                  </w:tcMar>
                  <w:vAlign w:val="center"/>
                </w:tcPr>
                <w:p w14:paraId="5F54101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6F9338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13B2D6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2,319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264943A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39CE4886"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0E4940C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2019-20</w:t>
                  </w:r>
                </w:p>
              </w:tc>
              <w:tc>
                <w:tcPr>
                  <w:tcW w:w="0" w:type="auto"/>
                  <w:tcBorders>
                    <w:bottom w:val="single" w:sz="6" w:space="0" w:color="D8DDEA"/>
                  </w:tcBorders>
                  <w:shd w:val="clear" w:color="auto" w:fill="FAFAFA"/>
                  <w:tcMar>
                    <w:top w:w="15" w:type="dxa"/>
                    <w:left w:w="0" w:type="dxa"/>
                    <w:bottom w:w="15" w:type="dxa"/>
                    <w:right w:w="0" w:type="dxa"/>
                  </w:tcMar>
                  <w:vAlign w:val="center"/>
                </w:tcPr>
                <w:p w14:paraId="2B4746C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34,518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6873C98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4,204</w:t>
                  </w:r>
                </w:p>
              </w:tc>
              <w:tc>
                <w:tcPr>
                  <w:tcW w:w="0" w:type="auto"/>
                  <w:tcBorders>
                    <w:bottom w:val="single" w:sz="6" w:space="0" w:color="D8DDEA"/>
                  </w:tcBorders>
                  <w:shd w:val="clear" w:color="auto" w:fill="FAFAFA"/>
                  <w:tcMar>
                    <w:top w:w="15" w:type="dxa"/>
                    <w:left w:w="0" w:type="dxa"/>
                    <w:bottom w:w="15" w:type="dxa"/>
                    <w:right w:w="0" w:type="dxa"/>
                  </w:tcMar>
                  <w:vAlign w:val="center"/>
                </w:tcPr>
                <w:p w14:paraId="3D078D4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7,435</w:t>
                  </w:r>
                </w:p>
              </w:tc>
              <w:tc>
                <w:tcPr>
                  <w:tcW w:w="0" w:type="auto"/>
                  <w:tcBorders>
                    <w:bottom w:val="single" w:sz="6" w:space="0" w:color="D8DDEA"/>
                  </w:tcBorders>
                  <w:shd w:val="clear" w:color="auto" w:fill="FAFAFA"/>
                  <w:tcMar>
                    <w:top w:w="15" w:type="dxa"/>
                    <w:left w:w="0" w:type="dxa"/>
                    <w:bottom w:w="15" w:type="dxa"/>
                    <w:right w:w="0" w:type="dxa"/>
                  </w:tcMar>
                  <w:vAlign w:val="center"/>
                </w:tcPr>
                <w:p w14:paraId="65C37D9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4,596</w:t>
                  </w:r>
                </w:p>
              </w:tc>
              <w:tc>
                <w:tcPr>
                  <w:tcW w:w="0" w:type="auto"/>
                  <w:tcBorders>
                    <w:bottom w:val="single" w:sz="6" w:space="0" w:color="D8DDEA"/>
                  </w:tcBorders>
                  <w:shd w:val="clear" w:color="auto" w:fill="FAFAFA"/>
                  <w:tcMar>
                    <w:top w:w="15" w:type="dxa"/>
                    <w:left w:w="0" w:type="dxa"/>
                    <w:bottom w:w="15" w:type="dxa"/>
                    <w:right w:w="0" w:type="dxa"/>
                  </w:tcMar>
                  <w:vAlign w:val="center"/>
                </w:tcPr>
                <w:p w14:paraId="17B6B8F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59,367</w:t>
                  </w:r>
                </w:p>
              </w:tc>
              <w:tc>
                <w:tcPr>
                  <w:tcW w:w="0" w:type="auto"/>
                  <w:tcBorders>
                    <w:bottom w:val="single" w:sz="6" w:space="0" w:color="D8DDEA"/>
                  </w:tcBorders>
                  <w:shd w:val="clear" w:color="auto" w:fill="FAFAFA"/>
                  <w:tcMar>
                    <w:top w:w="15" w:type="dxa"/>
                    <w:left w:w="0" w:type="dxa"/>
                    <w:bottom w:w="15" w:type="dxa"/>
                    <w:right w:w="0" w:type="dxa"/>
                  </w:tcMar>
                  <w:vAlign w:val="center"/>
                </w:tcPr>
                <w:p w14:paraId="57E1C54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B59F27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4B75F2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2,271</w:t>
                  </w:r>
                </w:p>
              </w:tc>
              <w:tc>
                <w:tcPr>
                  <w:tcW w:w="0" w:type="auto"/>
                  <w:tcBorders>
                    <w:bottom w:val="single" w:sz="6" w:space="0" w:color="D8DDEA"/>
                  </w:tcBorders>
                  <w:shd w:val="clear" w:color="auto" w:fill="FAFAFA"/>
                  <w:tcMar>
                    <w:top w:w="15" w:type="dxa"/>
                    <w:left w:w="0" w:type="dxa"/>
                    <w:bottom w:w="15" w:type="dxa"/>
                    <w:right w:w="0" w:type="dxa"/>
                  </w:tcMar>
                  <w:vAlign w:val="center"/>
                </w:tcPr>
                <w:p w14:paraId="59CA1D2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543AB55F" w14:textId="77777777">
              <w:trPr>
                <w:tblCellSpacing w:w="0" w:type="dxa"/>
              </w:trPr>
              <w:tc>
                <w:tcPr>
                  <w:tcW w:w="0" w:type="auto"/>
                  <w:tcBorders>
                    <w:bottom w:val="single" w:sz="6" w:space="0" w:color="D8DDEA"/>
                  </w:tcBorders>
                  <w:shd w:val="clear" w:color="auto" w:fill="D8DDEA"/>
                  <w:tcMar>
                    <w:top w:w="15" w:type="dxa"/>
                    <w:left w:w="0" w:type="dxa"/>
                    <w:bottom w:w="15" w:type="dxa"/>
                    <w:right w:w="0" w:type="dxa"/>
                  </w:tcMar>
                  <w:vAlign w:val="center"/>
                </w:tcPr>
                <w:p w14:paraId="39C11C3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2020-21</w:t>
                  </w:r>
                </w:p>
              </w:tc>
              <w:tc>
                <w:tcPr>
                  <w:tcW w:w="0" w:type="auto"/>
                  <w:tcBorders>
                    <w:bottom w:val="single" w:sz="6" w:space="0" w:color="D8DDEA"/>
                  </w:tcBorders>
                  <w:shd w:val="clear" w:color="auto" w:fill="D8DDEA"/>
                  <w:tcMar>
                    <w:top w:w="15" w:type="dxa"/>
                    <w:left w:w="0" w:type="dxa"/>
                    <w:bottom w:w="15" w:type="dxa"/>
                    <w:right w:w="0" w:type="dxa"/>
                  </w:tcMar>
                  <w:vAlign w:val="center"/>
                </w:tcPr>
                <w:p w14:paraId="4064342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27,485</w:t>
                  </w:r>
                </w:p>
              </w:tc>
              <w:tc>
                <w:tcPr>
                  <w:tcW w:w="0" w:type="auto"/>
                  <w:tcBorders>
                    <w:bottom w:val="single" w:sz="6" w:space="0" w:color="D8DDEA"/>
                  </w:tcBorders>
                  <w:shd w:val="clear" w:color="auto" w:fill="D8DDEA"/>
                  <w:tcMar>
                    <w:top w:w="15" w:type="dxa"/>
                    <w:left w:w="0" w:type="dxa"/>
                    <w:bottom w:w="15" w:type="dxa"/>
                    <w:right w:w="0" w:type="dxa"/>
                  </w:tcMar>
                  <w:vAlign w:val="center"/>
                </w:tcPr>
                <w:p w14:paraId="5F31DBF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2,697</w:t>
                  </w:r>
                </w:p>
              </w:tc>
              <w:tc>
                <w:tcPr>
                  <w:tcW w:w="0" w:type="auto"/>
                  <w:tcBorders>
                    <w:bottom w:val="single" w:sz="6" w:space="0" w:color="D8DDEA"/>
                  </w:tcBorders>
                  <w:shd w:val="clear" w:color="auto" w:fill="D8DDEA"/>
                  <w:tcMar>
                    <w:top w:w="15" w:type="dxa"/>
                    <w:left w:w="0" w:type="dxa"/>
                    <w:bottom w:w="15" w:type="dxa"/>
                    <w:right w:w="0" w:type="dxa"/>
                  </w:tcMar>
                  <w:vAlign w:val="center"/>
                </w:tcPr>
                <w:p w14:paraId="16D1639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6,982</w:t>
                  </w:r>
                </w:p>
              </w:tc>
              <w:tc>
                <w:tcPr>
                  <w:tcW w:w="0" w:type="auto"/>
                  <w:tcBorders>
                    <w:bottom w:val="single" w:sz="6" w:space="0" w:color="D8DDEA"/>
                  </w:tcBorders>
                  <w:shd w:val="clear" w:color="auto" w:fill="D8DDEA"/>
                  <w:tcMar>
                    <w:top w:w="15" w:type="dxa"/>
                    <w:left w:w="0" w:type="dxa"/>
                    <w:bottom w:w="15" w:type="dxa"/>
                    <w:right w:w="0" w:type="dxa"/>
                  </w:tcMar>
                  <w:vAlign w:val="center"/>
                </w:tcPr>
                <w:p w14:paraId="79E7245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4,407</w:t>
                  </w:r>
                </w:p>
              </w:tc>
              <w:tc>
                <w:tcPr>
                  <w:tcW w:w="0" w:type="auto"/>
                  <w:tcBorders>
                    <w:bottom w:val="single" w:sz="6" w:space="0" w:color="D8DDEA"/>
                  </w:tcBorders>
                  <w:shd w:val="clear" w:color="auto" w:fill="D8DDEA"/>
                  <w:tcMar>
                    <w:top w:w="15" w:type="dxa"/>
                    <w:left w:w="0" w:type="dxa"/>
                    <w:bottom w:w="15" w:type="dxa"/>
                    <w:right w:w="0" w:type="dxa"/>
                  </w:tcMar>
                  <w:vAlign w:val="center"/>
                </w:tcPr>
                <w:p w14:paraId="3369570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52,481</w:t>
                  </w:r>
                </w:p>
              </w:tc>
              <w:tc>
                <w:tcPr>
                  <w:tcW w:w="0" w:type="auto"/>
                  <w:tcBorders>
                    <w:bottom w:val="single" w:sz="6" w:space="0" w:color="D8DDEA"/>
                  </w:tcBorders>
                  <w:shd w:val="clear" w:color="auto" w:fill="D8DDEA"/>
                  <w:tcMar>
                    <w:top w:w="15" w:type="dxa"/>
                    <w:left w:w="0" w:type="dxa"/>
                    <w:bottom w:w="15" w:type="dxa"/>
                    <w:right w:w="0" w:type="dxa"/>
                  </w:tcMar>
                  <w:vAlign w:val="center"/>
                </w:tcPr>
                <w:p w14:paraId="6B3C571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D8DDEA"/>
                  <w:tcMar>
                    <w:top w:w="15" w:type="dxa"/>
                    <w:left w:w="0" w:type="dxa"/>
                    <w:bottom w:w="15" w:type="dxa"/>
                    <w:right w:w="0" w:type="dxa"/>
                  </w:tcMar>
                  <w:vAlign w:val="center"/>
                </w:tcPr>
                <w:p w14:paraId="04E7273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D8DDEA"/>
                  <w:tcMar>
                    <w:top w:w="15" w:type="dxa"/>
                    <w:left w:w="0" w:type="dxa"/>
                    <w:bottom w:w="15" w:type="dxa"/>
                    <w:right w:w="0" w:type="dxa"/>
                  </w:tcMar>
                  <w:vAlign w:val="center"/>
                </w:tcPr>
                <w:p w14:paraId="32D832A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1,872</w:t>
                  </w:r>
                </w:p>
              </w:tc>
              <w:tc>
                <w:tcPr>
                  <w:tcW w:w="0" w:type="auto"/>
                  <w:tcBorders>
                    <w:bottom w:val="single" w:sz="6" w:space="0" w:color="D8DDEA"/>
                  </w:tcBorders>
                  <w:shd w:val="clear" w:color="auto" w:fill="D8DDEA"/>
                  <w:tcMar>
                    <w:top w:w="15" w:type="dxa"/>
                    <w:left w:w="0" w:type="dxa"/>
                    <w:bottom w:w="15" w:type="dxa"/>
                    <w:right w:w="0" w:type="dxa"/>
                  </w:tcMar>
                  <w:vAlign w:val="center"/>
                </w:tcPr>
                <w:p w14:paraId="2B1B5FE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bl>
          <w:p w14:paraId="6B4CEDE7" w14:textId="77777777" w:rsidR="00B16DFE" w:rsidRDefault="00B16DFE"/>
        </w:tc>
      </w:tr>
    </w:tbl>
    <w:p w14:paraId="671795B3" w14:textId="77777777" w:rsidR="00B16DFE" w:rsidRDefault="00B16DFE">
      <w:pPr>
        <w:sectPr w:rsidR="00B16DFE">
          <w:headerReference w:type="default" r:id="rId49"/>
          <w:footerReference w:type="default" r:id="rId50"/>
          <w:pgSz w:w="11907" w:h="16839" w:code="9"/>
          <w:pgMar w:top="640" w:right="640" w:bottom="640" w:left="640" w:header="0" w:footer="0" w:gutter="0"/>
          <w:cols w:space="708"/>
          <w:docGrid w:linePitch="360"/>
        </w:sectPr>
      </w:pPr>
    </w:p>
    <w:p w14:paraId="0ED6ED44" w14:textId="77777777" w:rsidR="00B16DFE" w:rsidRDefault="009F0859">
      <w:pPr>
        <w:pStyle w:val="Heading1"/>
        <w:spacing w:before="0" w:after="240" w:line="420" w:lineRule="atLeast"/>
        <w:rPr>
          <w:rFonts w:ascii="Arial" w:eastAsia="Arial" w:hAnsi="Arial" w:cs="Arial"/>
          <w:b w:val="0"/>
          <w:bCs w:val="0"/>
          <w:color w:val="333333"/>
          <w:sz w:val="36"/>
          <w:szCs w:val="36"/>
        </w:rPr>
      </w:pPr>
      <w:bookmarkStart w:id="11" w:name="_Toc12"/>
      <w:r>
        <w:rPr>
          <w:rFonts w:ascii="Arial" w:eastAsia="Arial" w:hAnsi="Arial" w:cs="Arial"/>
          <w:b w:val="0"/>
          <w:bCs w:val="0"/>
          <w:color w:val="333333"/>
          <w:sz w:val="36"/>
          <w:szCs w:val="36"/>
        </w:rPr>
        <w:lastRenderedPageBreak/>
        <w:t>Industry Outlook</w:t>
      </w:r>
      <w:bookmarkEnd w:id="11"/>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33391014" w14:textId="77777777">
        <w:tc>
          <w:tcPr>
            <w:tcW w:w="1000" w:type="pct"/>
          </w:tcPr>
          <w:p w14:paraId="66590498" w14:textId="77777777" w:rsidR="00B16DFE" w:rsidRDefault="009F0859">
            <w:pPr>
              <w:pStyle w:val="Heading2"/>
              <w:spacing w:before="0" w:line="270" w:lineRule="atLeast"/>
              <w:rPr>
                <w:rFonts w:ascii="Arial" w:eastAsia="Arial" w:hAnsi="Arial" w:cs="Arial"/>
                <w:color w:val="333333"/>
                <w:spacing w:val="4"/>
                <w:sz w:val="21"/>
                <w:szCs w:val="21"/>
              </w:rPr>
            </w:pPr>
            <w:bookmarkStart w:id="12" w:name="_Toc13"/>
            <w:r>
              <w:rPr>
                <w:rFonts w:ascii="Arial" w:eastAsia="Arial" w:hAnsi="Arial" w:cs="Arial"/>
                <w:color w:val="333333"/>
                <w:spacing w:val="4"/>
                <w:sz w:val="21"/>
                <w:szCs w:val="21"/>
              </w:rPr>
              <w:t>Outlook</w:t>
            </w:r>
            <w:bookmarkEnd w:id="12"/>
          </w:p>
        </w:tc>
        <w:tc>
          <w:tcPr>
            <w:tcW w:w="4000" w:type="pct"/>
          </w:tcPr>
          <w:p w14:paraId="00123295"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 xml:space="preserve">Over the five years through 2025-26, IBISWorld expects industry revenue to grow at a </w:t>
            </w:r>
            <w:r>
              <w:rPr>
                <w:rFonts w:ascii="Arial" w:eastAsia="Arial" w:hAnsi="Arial" w:cs="Arial"/>
                <w:b/>
                <w:bCs/>
                <w:color w:val="7A1315"/>
                <w:sz w:val="24"/>
                <w:szCs w:val="24"/>
              </w:rPr>
              <w:t>compound annual rate of 4.8% to reach £34.7 billion.</w:t>
            </w:r>
          </w:p>
          <w:p w14:paraId="552B3F2A" w14:textId="77777777" w:rsidR="00B16DFE" w:rsidRDefault="00B16DFE">
            <w:pPr>
              <w:keepNext/>
              <w:keepLines/>
              <w:spacing w:after="0" w:line="225" w:lineRule="atLeast"/>
              <w:rPr>
                <w:rFonts w:ascii="Arial" w:eastAsia="Arial" w:hAnsi="Arial" w:cs="Arial"/>
                <w:sz w:val="16"/>
                <w:szCs w:val="16"/>
              </w:rPr>
            </w:pPr>
          </w:p>
          <w:p w14:paraId="77232192" w14:textId="77777777" w:rsidR="00B16DFE" w:rsidRDefault="009F0859">
            <w:pPr>
              <w:keepNext/>
              <w:keepLines/>
              <w:spacing w:after="300" w:line="225" w:lineRule="atLeast"/>
              <w:rPr>
                <w:rFonts w:ascii="Arial" w:eastAsia="Arial" w:hAnsi="Arial" w:cs="Arial"/>
                <w:sz w:val="16"/>
                <w:szCs w:val="16"/>
              </w:rPr>
            </w:pPr>
            <w:r>
              <w:rPr>
                <w:noProof/>
              </w:rPr>
              <w:drawing>
                <wp:anchor distT="0" distB="0" distL="115200" distR="115200" simplePos="0" relativeHeight="251656704" behindDoc="0" locked="0" layoutInCell="1" allowOverlap="1" wp14:anchorId="1010067E" wp14:editId="51D5D4C8">
                  <wp:simplePos x="0" y="0"/>
                  <wp:positionH relativeFrom="margin">
                    <wp:align>right</wp:align>
                  </wp:positionH>
                  <wp:positionV relativeFrom="paragraph">
                    <wp:posOffset>0</wp:posOffset>
                  </wp:positionV>
                  <wp:extent cx="2381250" cy="2381250"/>
                  <wp:effectExtent l="0" t="0" r="0" b="0"/>
                  <wp:wrapSquare wrapText="bothSides"/>
                  <wp:docPr id="65" name="Picture 65"/>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51" cstate="print"/>
                          <a:stretch>
                            <a:fillRect/>
                          </a:stretch>
                        </pic:blipFill>
                        <pic:spPr>
                          <a:xfrm>
                            <a:off x="0" y="0"/>
                            <a:ext cx="2381250" cy="2381250"/>
                          </a:xfrm>
                          <a:prstGeom prst="rect">
                            <a:avLst/>
                          </a:prstGeom>
                        </pic:spPr>
                      </pic:pic>
                    </a:graphicData>
                  </a:graphic>
                </wp:anchor>
              </w:drawing>
            </w:r>
            <w:r>
              <w:rPr>
                <w:rFonts w:ascii="Arial" w:eastAsia="Arial" w:hAnsi="Arial" w:cs="Arial"/>
                <w:sz w:val="16"/>
                <w:szCs w:val="16"/>
              </w:rPr>
              <w:t>The coronavirus outbreak is expected to continue to take its toll on industry operators in the short run as travel bans remain in place for some countries. Whilst the government has lifted travel restr</w:t>
            </w:r>
            <w:r>
              <w:rPr>
                <w:rFonts w:ascii="Arial" w:eastAsia="Arial" w:hAnsi="Arial" w:cs="Arial"/>
                <w:sz w:val="16"/>
                <w:szCs w:val="16"/>
              </w:rPr>
              <w:t>ictions for some countries, others remain off the travel corridors list, meaning arrivals to the UK from these destinations must quarantine for a 14-day period. As a result, some consumers are continuing to postpone making travel arrangements and booking h</w:t>
            </w:r>
            <w:r>
              <w:rPr>
                <w:rFonts w:ascii="Arial" w:eastAsia="Arial" w:hAnsi="Arial" w:cs="Arial"/>
                <w:sz w:val="16"/>
                <w:szCs w:val="16"/>
              </w:rPr>
              <w:t xml:space="preserve">olidays while the situation remains unclear. Falling consumer confidence and a more cautious mindset of travellers following the virus outbreak is expected to lead to constrained spending on holidays in the short term, despite continued expansion over the </w:t>
            </w:r>
            <w:r>
              <w:rPr>
                <w:rFonts w:ascii="Arial" w:eastAsia="Arial" w:hAnsi="Arial" w:cs="Arial"/>
                <w:sz w:val="16"/>
                <w:szCs w:val="16"/>
              </w:rPr>
              <w:t>coming period. However, the weak pound is expected to boost the number of international tourists visiting the United Kingdom over the next five years, supporting revenue growth. The industry is exposed to unpredictable political and environmental factors t</w:t>
            </w:r>
            <w:r>
              <w:rPr>
                <w:rFonts w:ascii="Arial" w:eastAsia="Arial" w:hAnsi="Arial" w:cs="Arial"/>
                <w:sz w:val="16"/>
                <w:szCs w:val="16"/>
              </w:rPr>
              <w:t>hat could lead to slight volatility in revenue, profit or wage costs over the next five years. Online operators are anticipated to continue putting pressure on the industry and on profit margins, which are forecast to rise at a slow pace. New trends are em</w:t>
            </w:r>
            <w:r>
              <w:rPr>
                <w:rFonts w:ascii="Arial" w:eastAsia="Arial" w:hAnsi="Arial" w:cs="Arial"/>
                <w:sz w:val="16"/>
                <w:szCs w:val="16"/>
              </w:rPr>
              <w:t>erging in the holiday market, including demand for personalised expert travel advice in an age of limitless choice and information online, according to ABTA. Additionally, package holidays are likely to prove a popular choice in the search for good value a</w:t>
            </w:r>
            <w:r>
              <w:rPr>
                <w:rFonts w:ascii="Arial" w:eastAsia="Arial" w:hAnsi="Arial" w:cs="Arial"/>
                <w:sz w:val="16"/>
                <w:szCs w:val="16"/>
              </w:rPr>
              <w:t>s low consumer confidence and the weakness of the pound persist.</w:t>
            </w:r>
          </w:p>
          <w:p w14:paraId="19CBDA6C"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Many companies are anticipated to move more operations online, leading to the exit of bricks-and-mortar travel agencies from the industry. This will likely result in larger operators continui</w:t>
            </w:r>
            <w:r>
              <w:rPr>
                <w:rFonts w:ascii="Arial" w:eastAsia="Arial" w:hAnsi="Arial" w:cs="Arial"/>
                <w:sz w:val="16"/>
                <w:szCs w:val="16"/>
              </w:rPr>
              <w:t>ng to record revenue growth as they are better connected and understand the needs and booking preferences of the contemporary traveller. However, consumers are less likely in the short term to purchase high-margin packages, such as extended holidays or lux</w:t>
            </w:r>
            <w:r>
              <w:rPr>
                <w:rFonts w:ascii="Arial" w:eastAsia="Arial" w:hAnsi="Arial" w:cs="Arial"/>
                <w:sz w:val="16"/>
                <w:szCs w:val="16"/>
              </w:rPr>
              <w:t>ury winter sun breaks, due to political and economic uncertainty resulting from the UK's exit from the European Union and the global coronavirus pandemic.</w:t>
            </w:r>
          </w:p>
          <w:p w14:paraId="3C8728CB"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Destination online</w:t>
            </w:r>
          </w:p>
          <w:p w14:paraId="2834B922"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Although the weak pound is likely to reduce buying power and lower confidence, lim</w:t>
            </w:r>
            <w:r>
              <w:rPr>
                <w:rFonts w:ascii="Arial" w:eastAsia="Arial" w:hAnsi="Arial" w:cs="Arial"/>
                <w:b/>
                <w:bCs/>
                <w:color w:val="7A1315"/>
                <w:sz w:val="24"/>
                <w:szCs w:val="24"/>
              </w:rPr>
              <w:t>iting demand for industry services, this is expected to be offset by increased interest in travelling from millennials.</w:t>
            </w:r>
          </w:p>
          <w:p w14:paraId="09AF0879" w14:textId="77777777" w:rsidR="00B16DFE" w:rsidRDefault="00B16DFE">
            <w:pPr>
              <w:keepNext/>
              <w:keepLines/>
              <w:spacing w:after="0" w:line="225" w:lineRule="atLeast"/>
              <w:rPr>
                <w:rFonts w:ascii="Arial" w:eastAsia="Arial" w:hAnsi="Arial" w:cs="Arial"/>
                <w:sz w:val="16"/>
                <w:szCs w:val="16"/>
              </w:rPr>
            </w:pPr>
          </w:p>
          <w:p w14:paraId="1AE4C980"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 xml:space="preserve">As the tech-savvy millennial generation spend more on holidays, incumbents must be flexible in adapting operations to meet </w:t>
            </w:r>
            <w:r>
              <w:rPr>
                <w:rFonts w:ascii="Arial" w:eastAsia="Arial" w:hAnsi="Arial" w:cs="Arial"/>
                <w:sz w:val="16"/>
                <w:szCs w:val="16"/>
              </w:rPr>
              <w:t xml:space="preserve">changing consumer preferences. As a result, the number of online </w:t>
            </w:r>
            <w:proofErr w:type="gramStart"/>
            <w:r>
              <w:rPr>
                <w:rFonts w:ascii="Arial" w:eastAsia="Arial" w:hAnsi="Arial" w:cs="Arial"/>
                <w:sz w:val="16"/>
                <w:szCs w:val="16"/>
              </w:rPr>
              <w:t>travel</w:t>
            </w:r>
            <w:proofErr w:type="gramEnd"/>
            <w:r>
              <w:rPr>
                <w:rFonts w:ascii="Arial" w:eastAsia="Arial" w:hAnsi="Arial" w:cs="Arial"/>
                <w:sz w:val="16"/>
                <w:szCs w:val="16"/>
              </w:rPr>
              <w:t xml:space="preserve"> booking sites is forecast to continue growing, and travellers are expected to become increasingly confident about cutting out travel agents and booking directly from tour and travel pr</w:t>
            </w:r>
            <w:r>
              <w:rPr>
                <w:rFonts w:ascii="Arial" w:eastAsia="Arial" w:hAnsi="Arial" w:cs="Arial"/>
                <w:sz w:val="16"/>
                <w:szCs w:val="16"/>
              </w:rPr>
              <w:t>oviders. The industry is therefore likely to be characterised by rising competition over the next few years. The number of enterprises is expected to grow at a compound annual rate of 1.9% over the five years through 2025-26, while the number of establishm</w:t>
            </w:r>
            <w:r>
              <w:rPr>
                <w:rFonts w:ascii="Arial" w:eastAsia="Arial" w:hAnsi="Arial" w:cs="Arial"/>
                <w:sz w:val="16"/>
                <w:szCs w:val="16"/>
              </w:rPr>
              <w:t>ents is expected to grow at a slower rate of 1.6%.</w:t>
            </w:r>
          </w:p>
          <w:p w14:paraId="5612E82C"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According to ABTA, 76% of holiday bookings were made online in 2016, increasing to 81% in 2018. The proliferation of travel apps is expected to encourage more people to use online booking as it allows them</w:t>
            </w:r>
            <w:r>
              <w:rPr>
                <w:rFonts w:ascii="Arial" w:eastAsia="Arial" w:hAnsi="Arial" w:cs="Arial"/>
                <w:sz w:val="16"/>
                <w:szCs w:val="16"/>
              </w:rPr>
              <w:t xml:space="preserve"> to book at times that suit them, to compare various packages and tariffs and to arrange their own itinerary. 12% of people booked their holiday on a mobile phone in 2018; however, this was down from 20% in the previous year. IBISWorld expects the industry</w:t>
            </w:r>
            <w:r>
              <w:rPr>
                <w:rFonts w:ascii="Arial" w:eastAsia="Arial" w:hAnsi="Arial" w:cs="Arial"/>
                <w:sz w:val="16"/>
                <w:szCs w:val="16"/>
              </w:rPr>
              <w:t xml:space="preserve"> to separate into small niche players that offer more specific products, such as religious pilgrimages, or that target certain destinations or experiences. Given their higher fixed costs and declining commission margins, traditional shop-front agencies tha</w:t>
            </w:r>
            <w:r>
              <w:rPr>
                <w:rFonts w:ascii="Arial" w:eastAsia="Arial" w:hAnsi="Arial" w:cs="Arial"/>
                <w:sz w:val="16"/>
                <w:szCs w:val="16"/>
              </w:rPr>
              <w:t>t do not operate in a niche market are likely to come under increasing pressure to consolidate.</w:t>
            </w:r>
          </w:p>
          <w:p w14:paraId="2E61D46D"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As the level of competition from online sources rises, high-street travel agents will need to focus more on the quality of service offered, combining depth of k</w:t>
            </w:r>
            <w:r>
              <w:rPr>
                <w:rFonts w:ascii="Arial" w:eastAsia="Arial" w:hAnsi="Arial" w:cs="Arial"/>
                <w:sz w:val="16"/>
                <w:szCs w:val="16"/>
              </w:rPr>
              <w:t xml:space="preserve">nowledge and new technology. There will continue to be a place for high-street travel agents able to explain complicated information that inexperienced consumers encounter on the internet. The key to meeting the challenge of travel agency websites will be </w:t>
            </w:r>
            <w:r>
              <w:rPr>
                <w:rFonts w:ascii="Arial" w:eastAsia="Arial" w:hAnsi="Arial" w:cs="Arial"/>
                <w:sz w:val="16"/>
                <w:szCs w:val="16"/>
              </w:rPr>
              <w:t>switching towards dynamic, customised package holidays.</w:t>
            </w:r>
          </w:p>
          <w:p w14:paraId="7A1F1769"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Traveller trends</w:t>
            </w:r>
          </w:p>
          <w:p w14:paraId="15D211BB"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 xml:space="preserve">Although revenue is expected to grow consistently over the five years through 2025-26, the industry is in a transitional stage and operators will </w:t>
            </w:r>
            <w:r>
              <w:rPr>
                <w:rFonts w:ascii="Arial" w:eastAsia="Arial" w:hAnsi="Arial" w:cs="Arial"/>
                <w:b/>
                <w:bCs/>
                <w:color w:val="7A1315"/>
                <w:sz w:val="24"/>
                <w:szCs w:val="24"/>
              </w:rPr>
              <w:lastRenderedPageBreak/>
              <w:t>continue to face fresh challenges.</w:t>
            </w:r>
          </w:p>
          <w:p w14:paraId="36FEECB4" w14:textId="77777777" w:rsidR="00B16DFE" w:rsidRDefault="00B16DFE">
            <w:pPr>
              <w:keepNext/>
              <w:keepLines/>
              <w:spacing w:after="0" w:line="225" w:lineRule="atLeast"/>
              <w:rPr>
                <w:rFonts w:ascii="Arial" w:eastAsia="Arial" w:hAnsi="Arial" w:cs="Arial"/>
                <w:sz w:val="16"/>
                <w:szCs w:val="16"/>
              </w:rPr>
            </w:pPr>
          </w:p>
          <w:p w14:paraId="6CCB90F3"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T</w:t>
            </w:r>
            <w:r>
              <w:rPr>
                <w:rFonts w:ascii="Arial" w:eastAsia="Arial" w:hAnsi="Arial" w:cs="Arial"/>
                <w:sz w:val="16"/>
                <w:szCs w:val="16"/>
              </w:rPr>
              <w:t>he collapse of Thomas Cook in September 2019 is expected to make consumers cautious about booking holidays through a travel agent, although the largest impact from this is likely to be felt in the Tour Operators industry (N79.120 Tour Operators in the UK).</w:t>
            </w:r>
            <w:r>
              <w:rPr>
                <w:rFonts w:ascii="Arial" w:eastAsia="Arial" w:hAnsi="Arial" w:cs="Arial"/>
                <w:sz w:val="16"/>
                <w:szCs w:val="16"/>
              </w:rPr>
              <w:t xml:space="preserve"> The sudden outbreak of coronavirus and the help offered to stranded holidaymakers and those who had future trips booked through their travel agent may reverse this trend somewhat. In addition, the enduring desire of consumers to take regular holidays, dom</w:t>
            </w:r>
            <w:r>
              <w:rPr>
                <w:rFonts w:ascii="Arial" w:eastAsia="Arial" w:hAnsi="Arial" w:cs="Arial"/>
                <w:sz w:val="16"/>
                <w:szCs w:val="16"/>
              </w:rPr>
              <w:t>estically or internationally, is likely to ensure that the market for travel agents remains stable. Demand for dynamic package holidays is anticipated to support the industry's performance, as consumers are more likely to use a travel agent when booking pa</w:t>
            </w:r>
            <w:r>
              <w:rPr>
                <w:rFonts w:ascii="Arial" w:eastAsia="Arial" w:hAnsi="Arial" w:cs="Arial"/>
                <w:sz w:val="16"/>
                <w:szCs w:val="16"/>
              </w:rPr>
              <w:t>ckage holidays. Other growing trends include cruise ship travel, responsible travel and solo travel, all of which are more likely to be booked through a travel agent than by the consumer. Cautious spending is expected to keep value at the forefront of cons</w:t>
            </w:r>
            <w:r>
              <w:rPr>
                <w:rFonts w:ascii="Arial" w:eastAsia="Arial" w:hAnsi="Arial" w:cs="Arial"/>
                <w:sz w:val="16"/>
                <w:szCs w:val="16"/>
              </w:rPr>
              <w:t>umers' minds when searching for holidays.</w:t>
            </w:r>
          </w:p>
          <w:p w14:paraId="5884B921"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Flying high</w:t>
            </w:r>
          </w:p>
          <w:p w14:paraId="76BF14C1"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Further changes to Air Passenger Duty (APD) are expected to occur over the next five years.</w:t>
            </w:r>
          </w:p>
          <w:p w14:paraId="1B8C344A" w14:textId="77777777" w:rsidR="00B16DFE" w:rsidRDefault="00B16DFE">
            <w:pPr>
              <w:keepNext/>
              <w:keepLines/>
              <w:spacing w:after="0" w:line="225" w:lineRule="atLeast"/>
              <w:rPr>
                <w:rFonts w:ascii="Arial" w:eastAsia="Arial" w:hAnsi="Arial" w:cs="Arial"/>
                <w:sz w:val="16"/>
                <w:szCs w:val="16"/>
              </w:rPr>
            </w:pPr>
          </w:p>
          <w:p w14:paraId="6CBEBE3E"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 xml:space="preserve">In April 2018, band B APD rates rose marginally, with RPI inflation reaching £78 for reduced rate </w:t>
            </w:r>
            <w:r>
              <w:rPr>
                <w:rFonts w:ascii="Arial" w:eastAsia="Arial" w:hAnsi="Arial" w:cs="Arial"/>
                <w:sz w:val="16"/>
                <w:szCs w:val="16"/>
              </w:rPr>
              <w:t>travel, £156 for the standard rate and £468 for higher rate travel, while band A rates remained stable. This meant that short flights became less expensive as band A APD rates remained steady while inflation pushed up wages. However, APD charges for flight</w:t>
            </w:r>
            <w:r>
              <w:rPr>
                <w:rFonts w:ascii="Arial" w:eastAsia="Arial" w:hAnsi="Arial" w:cs="Arial"/>
                <w:sz w:val="16"/>
                <w:szCs w:val="16"/>
              </w:rPr>
              <w:t>s in band B remained proportional. In April 2019, band B rates rose again to £172 for the standard rate and £515 for higher rate travel.</w:t>
            </w:r>
          </w:p>
          <w:p w14:paraId="6C9535AD"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Another concern for the industry is the potential changes to the UK's access to the EU single aviation market following</w:t>
            </w:r>
            <w:r>
              <w:rPr>
                <w:rFonts w:ascii="Arial" w:eastAsia="Arial" w:hAnsi="Arial" w:cs="Arial"/>
                <w:sz w:val="16"/>
                <w:szCs w:val="16"/>
              </w:rPr>
              <w:t xml:space="preserve"> the end of the transition period. Airlines in the United Kingdom are currently included in the single aviation market, which enables them to land freely in EU member states. Approximately 3,000 planes bound for overseas destinations depart from the United</w:t>
            </w:r>
            <w:r>
              <w:rPr>
                <w:rFonts w:ascii="Arial" w:eastAsia="Arial" w:hAnsi="Arial" w:cs="Arial"/>
                <w:sz w:val="16"/>
                <w:szCs w:val="16"/>
              </w:rPr>
              <w:t xml:space="preserve"> Kingdom every day, meaning any changes in the UK's access to the single aviation market are likely to have a notable effect on the industry.</w:t>
            </w:r>
          </w:p>
        </w:tc>
      </w:tr>
      <w:tr w:rsidR="00B16DFE" w14:paraId="1369B9B0" w14:textId="77777777">
        <w:tc>
          <w:tcPr>
            <w:tcW w:w="4000" w:type="pct"/>
            <w:gridSpan w:val="2"/>
          </w:tcPr>
          <w:p w14:paraId="2F2AAE33" w14:textId="77777777" w:rsidR="00B16DFE" w:rsidRDefault="009F0859">
            <w:pPr>
              <w:keepNext/>
              <w:keepLines/>
              <w:spacing w:after="0" w:line="225" w:lineRule="atLeast"/>
              <w:rPr>
                <w:rFonts w:ascii="Arial" w:eastAsia="Arial" w:hAnsi="Arial" w:cs="Arial"/>
                <w:sz w:val="16"/>
                <w:szCs w:val="16"/>
              </w:rPr>
            </w:pPr>
            <w:r>
              <w:lastRenderedPageBreak/>
              <w:br/>
            </w:r>
          </w:p>
        </w:tc>
      </w:tr>
      <w:tr w:rsidR="00B16DFE" w14:paraId="2B680C0E"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10627"/>
            </w:tblGrid>
            <w:tr w:rsidR="00B16DFE" w14:paraId="68DA0A03" w14:textId="77777777">
              <w:trPr>
                <w:cantSplit/>
              </w:trPr>
              <w:tc>
                <w:tcPr>
                  <w:tcW w:w="4000" w:type="pct"/>
                </w:tcPr>
                <w:p w14:paraId="5A0562A3" w14:textId="77777777" w:rsidR="00B16DFE" w:rsidRDefault="009F0859">
                  <w:pPr>
                    <w:keepNext/>
                    <w:keepLines/>
                    <w:shd w:val="clear" w:color="auto" w:fill="FAFAFA"/>
                    <w:spacing w:before="120" w:after="0" w:line="240" w:lineRule="atLeast"/>
                    <w:jc w:val="center"/>
                    <w:rPr>
                      <w:rFonts w:ascii="Arial" w:eastAsia="Arial" w:hAnsi="Arial" w:cs="Arial"/>
                      <w:b/>
                      <w:bCs/>
                      <w:color w:val="333333"/>
                      <w:spacing w:val="4"/>
                      <w:sz w:val="21"/>
                      <w:szCs w:val="21"/>
                    </w:rPr>
                  </w:pPr>
                  <w:r>
                    <w:rPr>
                      <w:rFonts w:ascii="Arial" w:eastAsia="Arial" w:hAnsi="Arial" w:cs="Arial"/>
                      <w:b/>
                      <w:bCs/>
                      <w:color w:val="333333"/>
                      <w:spacing w:val="4"/>
                      <w:sz w:val="21"/>
                      <w:szCs w:val="21"/>
                    </w:rPr>
                    <w:t>Performance Outlook Data</w:t>
                  </w:r>
                </w:p>
                <w:tbl>
                  <w:tblPr>
                    <w:tblW w:w="0" w:type="auto"/>
                    <w:tblCellSpacing w:w="0" w:type="dxa"/>
                    <w:tblBorders>
                      <w:top w:val="nil"/>
                      <w:left w:val="nil"/>
                      <w:bottom w:val="nil"/>
                      <w:right w:val="nil"/>
                      <w:insideH w:val="nil"/>
                      <w:insideV w:val="nil"/>
                    </w:tblBorders>
                    <w:shd w:val="clear" w:color="auto" w:fill="FAFAFA"/>
                    <w:tblLook w:val="04A0" w:firstRow="1" w:lastRow="0" w:firstColumn="1" w:lastColumn="0" w:noHBand="0" w:noVBand="1"/>
                  </w:tblPr>
                  <w:tblGrid>
                    <w:gridCol w:w="625"/>
                    <w:gridCol w:w="1052"/>
                    <w:gridCol w:w="939"/>
                    <w:gridCol w:w="1251"/>
                    <w:gridCol w:w="1135"/>
                    <w:gridCol w:w="1165"/>
                    <w:gridCol w:w="1025"/>
                    <w:gridCol w:w="1022"/>
                    <w:gridCol w:w="994"/>
                    <w:gridCol w:w="1203"/>
                  </w:tblGrid>
                  <w:tr w:rsidR="00B16DFE" w14:paraId="1827E913" w14:textId="77777777">
                    <w:trPr>
                      <w:tblHeader/>
                      <w:tblCellSpacing w:w="0" w:type="dxa"/>
                    </w:trPr>
                    <w:tc>
                      <w:tcPr>
                        <w:tcW w:w="810" w:type="dxa"/>
                        <w:shd w:val="clear" w:color="auto" w:fill="FAFAFA"/>
                        <w:tcMar>
                          <w:top w:w="30" w:type="dxa"/>
                          <w:left w:w="0" w:type="dxa"/>
                          <w:bottom w:w="0" w:type="dxa"/>
                          <w:right w:w="0" w:type="dxa"/>
                        </w:tcMar>
                        <w:vAlign w:val="bottom"/>
                      </w:tcPr>
                      <w:p w14:paraId="1BA5EEEB"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Year</w:t>
                        </w:r>
                      </w:p>
                    </w:tc>
                    <w:tc>
                      <w:tcPr>
                        <w:tcW w:w="1350" w:type="dxa"/>
                        <w:shd w:val="clear" w:color="auto" w:fill="FAFAFA"/>
                        <w:tcMar>
                          <w:top w:w="30" w:type="dxa"/>
                          <w:left w:w="0" w:type="dxa"/>
                          <w:bottom w:w="0" w:type="dxa"/>
                          <w:right w:w="0" w:type="dxa"/>
                        </w:tcMar>
                        <w:vAlign w:val="bottom"/>
                      </w:tcPr>
                      <w:p w14:paraId="47CB6FD5"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Revenue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628E1CA3"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IVA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00ED8664"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Establishments </w:t>
                        </w:r>
                        <w:r>
                          <w:br/>
                        </w:r>
                        <w:r>
                          <w:rPr>
                            <w:rFonts w:ascii="Arial" w:eastAsia="Arial" w:hAnsi="Arial" w:cs="Arial"/>
                            <w:b/>
                            <w:bCs/>
                            <w:sz w:val="15"/>
                            <w:szCs w:val="15"/>
                          </w:rPr>
                          <w:t>(Units)</w:t>
                        </w:r>
                      </w:p>
                    </w:tc>
                    <w:tc>
                      <w:tcPr>
                        <w:tcW w:w="1350" w:type="dxa"/>
                        <w:shd w:val="clear" w:color="auto" w:fill="FAFAFA"/>
                        <w:tcMar>
                          <w:top w:w="30" w:type="dxa"/>
                          <w:left w:w="0" w:type="dxa"/>
                          <w:bottom w:w="0" w:type="dxa"/>
                          <w:right w:w="0" w:type="dxa"/>
                        </w:tcMar>
                        <w:vAlign w:val="bottom"/>
                      </w:tcPr>
                      <w:p w14:paraId="33495065"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Enterprises </w:t>
                        </w:r>
                        <w:r>
                          <w:br/>
                        </w:r>
                        <w:r>
                          <w:rPr>
                            <w:rFonts w:ascii="Arial" w:eastAsia="Arial" w:hAnsi="Arial" w:cs="Arial"/>
                            <w:b/>
                            <w:bCs/>
                            <w:sz w:val="15"/>
                            <w:szCs w:val="15"/>
                          </w:rPr>
                          <w:t>(Units)</w:t>
                        </w:r>
                      </w:p>
                    </w:tc>
                    <w:tc>
                      <w:tcPr>
                        <w:tcW w:w="1350" w:type="dxa"/>
                        <w:shd w:val="clear" w:color="auto" w:fill="FAFAFA"/>
                        <w:tcMar>
                          <w:top w:w="30" w:type="dxa"/>
                          <w:left w:w="0" w:type="dxa"/>
                          <w:bottom w:w="0" w:type="dxa"/>
                          <w:right w:w="0" w:type="dxa"/>
                        </w:tcMar>
                        <w:vAlign w:val="bottom"/>
                      </w:tcPr>
                      <w:p w14:paraId="1E9DF0A9"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Employment </w:t>
                        </w:r>
                        <w:r>
                          <w:br/>
                        </w:r>
                        <w:r>
                          <w:rPr>
                            <w:rFonts w:ascii="Arial" w:eastAsia="Arial" w:hAnsi="Arial" w:cs="Arial"/>
                            <w:b/>
                            <w:bCs/>
                            <w:sz w:val="15"/>
                            <w:szCs w:val="15"/>
                          </w:rPr>
                          <w:t>(Units)</w:t>
                        </w:r>
                      </w:p>
                    </w:tc>
                    <w:tc>
                      <w:tcPr>
                        <w:tcW w:w="1350" w:type="dxa"/>
                        <w:shd w:val="clear" w:color="auto" w:fill="FAFAFA"/>
                        <w:tcMar>
                          <w:top w:w="30" w:type="dxa"/>
                          <w:left w:w="0" w:type="dxa"/>
                          <w:bottom w:w="0" w:type="dxa"/>
                          <w:right w:w="0" w:type="dxa"/>
                        </w:tcMar>
                        <w:vAlign w:val="bottom"/>
                      </w:tcPr>
                      <w:p w14:paraId="2C264AB1"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Exports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540C287A"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Imports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7179AD0B"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Wages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63F0638C"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Domestic</w:t>
                        </w:r>
                        <w:r>
                          <w:br/>
                        </w:r>
                        <w:proofErr w:type="gramStart"/>
                        <w:r>
                          <w:rPr>
                            <w:rFonts w:ascii="Arial" w:eastAsia="Arial" w:hAnsi="Arial" w:cs="Arial"/>
                            <w:b/>
                            <w:bCs/>
                            <w:sz w:val="15"/>
                            <w:szCs w:val="15"/>
                          </w:rPr>
                          <w:t>Demand  (</w:t>
                        </w:r>
                        <w:proofErr w:type="gramEnd"/>
                        <w:r>
                          <w:rPr>
                            <w:rFonts w:ascii="Arial" w:eastAsia="Arial" w:hAnsi="Arial" w:cs="Arial"/>
                            <w:b/>
                            <w:bCs/>
                            <w:sz w:val="15"/>
                            <w:szCs w:val="15"/>
                          </w:rPr>
                          <w:t>£m)</w:t>
                        </w:r>
                      </w:p>
                    </w:tc>
                  </w:tr>
                  <w:tr w:rsidR="00B16DFE" w14:paraId="1C60A156" w14:textId="77777777">
                    <w:trPr>
                      <w:tblCellSpacing w:w="0" w:type="dxa"/>
                    </w:trPr>
                    <w:tc>
                      <w:tcPr>
                        <w:tcW w:w="0" w:type="auto"/>
                        <w:tcBorders>
                          <w:top w:val="single" w:sz="6" w:space="0" w:color="D07368"/>
                          <w:bottom w:val="single" w:sz="6" w:space="0" w:color="D8DDEA"/>
                        </w:tcBorders>
                        <w:shd w:val="clear" w:color="auto" w:fill="D8DDEA"/>
                        <w:tcMar>
                          <w:top w:w="15" w:type="dxa"/>
                          <w:left w:w="0" w:type="dxa"/>
                          <w:bottom w:w="15" w:type="dxa"/>
                          <w:right w:w="0" w:type="dxa"/>
                        </w:tcMar>
                        <w:vAlign w:val="center"/>
                      </w:tcPr>
                      <w:p w14:paraId="4E25310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2020-21</w:t>
                        </w:r>
                      </w:p>
                    </w:tc>
                    <w:tc>
                      <w:tcPr>
                        <w:tcW w:w="0" w:type="auto"/>
                        <w:tcBorders>
                          <w:top w:val="single" w:sz="6" w:space="0" w:color="D07368"/>
                          <w:bottom w:val="single" w:sz="6" w:space="0" w:color="D8DDEA"/>
                        </w:tcBorders>
                        <w:shd w:val="clear" w:color="auto" w:fill="D8DDEA"/>
                        <w:tcMar>
                          <w:top w:w="15" w:type="dxa"/>
                          <w:left w:w="0" w:type="dxa"/>
                          <w:bottom w:w="15" w:type="dxa"/>
                          <w:right w:w="0" w:type="dxa"/>
                        </w:tcMar>
                        <w:vAlign w:val="center"/>
                      </w:tcPr>
                      <w:p w14:paraId="03D5C89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27,485</w:t>
                        </w:r>
                      </w:p>
                    </w:tc>
                    <w:tc>
                      <w:tcPr>
                        <w:tcW w:w="0" w:type="auto"/>
                        <w:tcBorders>
                          <w:top w:val="single" w:sz="6" w:space="0" w:color="D07368"/>
                          <w:bottom w:val="single" w:sz="6" w:space="0" w:color="D8DDEA"/>
                        </w:tcBorders>
                        <w:shd w:val="clear" w:color="auto" w:fill="D8DDEA"/>
                        <w:tcMar>
                          <w:top w:w="15" w:type="dxa"/>
                          <w:left w:w="0" w:type="dxa"/>
                          <w:bottom w:w="15" w:type="dxa"/>
                          <w:right w:w="0" w:type="dxa"/>
                        </w:tcMar>
                        <w:vAlign w:val="center"/>
                      </w:tcPr>
                      <w:p w14:paraId="3B7BDD9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2,697</w:t>
                        </w:r>
                      </w:p>
                    </w:tc>
                    <w:tc>
                      <w:tcPr>
                        <w:tcW w:w="0" w:type="auto"/>
                        <w:tcBorders>
                          <w:top w:val="single" w:sz="6" w:space="0" w:color="D07368"/>
                          <w:bottom w:val="single" w:sz="6" w:space="0" w:color="D8DDEA"/>
                        </w:tcBorders>
                        <w:shd w:val="clear" w:color="auto" w:fill="D8DDEA"/>
                        <w:tcMar>
                          <w:top w:w="15" w:type="dxa"/>
                          <w:left w:w="0" w:type="dxa"/>
                          <w:bottom w:w="15" w:type="dxa"/>
                          <w:right w:w="0" w:type="dxa"/>
                        </w:tcMar>
                        <w:vAlign w:val="center"/>
                      </w:tcPr>
                      <w:p w14:paraId="19F0697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6,982</w:t>
                        </w:r>
                      </w:p>
                    </w:tc>
                    <w:tc>
                      <w:tcPr>
                        <w:tcW w:w="0" w:type="auto"/>
                        <w:tcBorders>
                          <w:top w:val="single" w:sz="6" w:space="0" w:color="D07368"/>
                          <w:bottom w:val="single" w:sz="6" w:space="0" w:color="D8DDEA"/>
                        </w:tcBorders>
                        <w:shd w:val="clear" w:color="auto" w:fill="D8DDEA"/>
                        <w:tcMar>
                          <w:top w:w="15" w:type="dxa"/>
                          <w:left w:w="0" w:type="dxa"/>
                          <w:bottom w:w="15" w:type="dxa"/>
                          <w:right w:w="0" w:type="dxa"/>
                        </w:tcMar>
                        <w:vAlign w:val="center"/>
                      </w:tcPr>
                      <w:p w14:paraId="370B710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4,407</w:t>
                        </w:r>
                      </w:p>
                    </w:tc>
                    <w:tc>
                      <w:tcPr>
                        <w:tcW w:w="0" w:type="auto"/>
                        <w:tcBorders>
                          <w:top w:val="single" w:sz="6" w:space="0" w:color="D07368"/>
                          <w:bottom w:val="single" w:sz="6" w:space="0" w:color="D8DDEA"/>
                        </w:tcBorders>
                        <w:shd w:val="clear" w:color="auto" w:fill="D8DDEA"/>
                        <w:tcMar>
                          <w:top w:w="15" w:type="dxa"/>
                          <w:left w:w="0" w:type="dxa"/>
                          <w:bottom w:w="15" w:type="dxa"/>
                          <w:right w:w="0" w:type="dxa"/>
                        </w:tcMar>
                        <w:vAlign w:val="center"/>
                      </w:tcPr>
                      <w:p w14:paraId="4CFC994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52,481</w:t>
                        </w:r>
                      </w:p>
                    </w:tc>
                    <w:tc>
                      <w:tcPr>
                        <w:tcW w:w="0" w:type="auto"/>
                        <w:tcBorders>
                          <w:top w:val="single" w:sz="6" w:space="0" w:color="D07368"/>
                          <w:bottom w:val="single" w:sz="6" w:space="0" w:color="D8DDEA"/>
                        </w:tcBorders>
                        <w:shd w:val="clear" w:color="auto" w:fill="D8DDEA"/>
                        <w:tcMar>
                          <w:top w:w="15" w:type="dxa"/>
                          <w:left w:w="0" w:type="dxa"/>
                          <w:bottom w:w="15" w:type="dxa"/>
                          <w:right w:w="0" w:type="dxa"/>
                        </w:tcMar>
                        <w:vAlign w:val="center"/>
                      </w:tcPr>
                      <w:p w14:paraId="1190E9F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top w:val="single" w:sz="6" w:space="0" w:color="D07368"/>
                          <w:bottom w:val="single" w:sz="6" w:space="0" w:color="D8DDEA"/>
                        </w:tcBorders>
                        <w:shd w:val="clear" w:color="auto" w:fill="D8DDEA"/>
                        <w:tcMar>
                          <w:top w:w="15" w:type="dxa"/>
                          <w:left w:w="0" w:type="dxa"/>
                          <w:bottom w:w="15" w:type="dxa"/>
                          <w:right w:w="0" w:type="dxa"/>
                        </w:tcMar>
                        <w:vAlign w:val="center"/>
                      </w:tcPr>
                      <w:p w14:paraId="7F6BC8B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top w:val="single" w:sz="6" w:space="0" w:color="D07368"/>
                          <w:bottom w:val="single" w:sz="6" w:space="0" w:color="D8DDEA"/>
                        </w:tcBorders>
                        <w:shd w:val="clear" w:color="auto" w:fill="D8DDEA"/>
                        <w:tcMar>
                          <w:top w:w="15" w:type="dxa"/>
                          <w:left w:w="0" w:type="dxa"/>
                          <w:bottom w:w="15" w:type="dxa"/>
                          <w:right w:w="0" w:type="dxa"/>
                        </w:tcMar>
                        <w:vAlign w:val="center"/>
                      </w:tcPr>
                      <w:p w14:paraId="65012D7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1,872</w:t>
                        </w:r>
                      </w:p>
                    </w:tc>
                    <w:tc>
                      <w:tcPr>
                        <w:tcW w:w="0" w:type="auto"/>
                        <w:tcBorders>
                          <w:top w:val="single" w:sz="6" w:space="0" w:color="D07368"/>
                          <w:bottom w:val="single" w:sz="6" w:space="0" w:color="D8DDEA"/>
                        </w:tcBorders>
                        <w:shd w:val="clear" w:color="auto" w:fill="D8DDEA"/>
                        <w:tcMar>
                          <w:top w:w="15" w:type="dxa"/>
                          <w:left w:w="0" w:type="dxa"/>
                          <w:bottom w:w="15" w:type="dxa"/>
                          <w:right w:w="0" w:type="dxa"/>
                        </w:tcMar>
                        <w:vAlign w:val="center"/>
                      </w:tcPr>
                      <w:p w14:paraId="79390AC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50A9085D"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421A16B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2021-22</w:t>
                        </w:r>
                      </w:p>
                    </w:tc>
                    <w:tc>
                      <w:tcPr>
                        <w:tcW w:w="0" w:type="auto"/>
                        <w:tcBorders>
                          <w:bottom w:val="single" w:sz="6" w:space="0" w:color="D8DDEA"/>
                        </w:tcBorders>
                        <w:shd w:val="clear" w:color="auto" w:fill="FAFAFA"/>
                        <w:tcMar>
                          <w:top w:w="15" w:type="dxa"/>
                          <w:left w:w="0" w:type="dxa"/>
                          <w:bottom w:w="15" w:type="dxa"/>
                          <w:right w:w="0" w:type="dxa"/>
                        </w:tcMar>
                        <w:vAlign w:val="center"/>
                      </w:tcPr>
                      <w:p w14:paraId="7DE6465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31,388</w:t>
                        </w:r>
                      </w:p>
                    </w:tc>
                    <w:tc>
                      <w:tcPr>
                        <w:tcW w:w="0" w:type="auto"/>
                        <w:tcBorders>
                          <w:bottom w:val="single" w:sz="6" w:space="0" w:color="D8DDEA"/>
                        </w:tcBorders>
                        <w:shd w:val="clear" w:color="auto" w:fill="FAFAFA"/>
                        <w:tcMar>
                          <w:top w:w="15" w:type="dxa"/>
                          <w:left w:w="0" w:type="dxa"/>
                          <w:bottom w:w="15" w:type="dxa"/>
                          <w:right w:w="0" w:type="dxa"/>
                        </w:tcMar>
                        <w:vAlign w:val="center"/>
                      </w:tcPr>
                      <w:p w14:paraId="06256BF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3,127</w:t>
                        </w:r>
                      </w:p>
                    </w:tc>
                    <w:tc>
                      <w:tcPr>
                        <w:tcW w:w="0" w:type="auto"/>
                        <w:tcBorders>
                          <w:bottom w:val="single" w:sz="6" w:space="0" w:color="D8DDEA"/>
                        </w:tcBorders>
                        <w:shd w:val="clear" w:color="auto" w:fill="FAFAFA"/>
                        <w:tcMar>
                          <w:top w:w="15" w:type="dxa"/>
                          <w:left w:w="0" w:type="dxa"/>
                          <w:bottom w:w="15" w:type="dxa"/>
                          <w:right w:w="0" w:type="dxa"/>
                        </w:tcMar>
                        <w:vAlign w:val="center"/>
                      </w:tcPr>
                      <w:p w14:paraId="64ABE66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7,142</w:t>
                        </w:r>
                      </w:p>
                    </w:tc>
                    <w:tc>
                      <w:tcPr>
                        <w:tcW w:w="0" w:type="auto"/>
                        <w:tcBorders>
                          <w:bottom w:val="single" w:sz="6" w:space="0" w:color="D8DDEA"/>
                        </w:tcBorders>
                        <w:shd w:val="clear" w:color="auto" w:fill="FAFAFA"/>
                        <w:tcMar>
                          <w:top w:w="15" w:type="dxa"/>
                          <w:left w:w="0" w:type="dxa"/>
                          <w:bottom w:w="15" w:type="dxa"/>
                          <w:right w:w="0" w:type="dxa"/>
                        </w:tcMar>
                        <w:vAlign w:val="center"/>
                      </w:tcPr>
                      <w:p w14:paraId="31B1F68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4,518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134C348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56,626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6D86CB9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73D6FC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AF6960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2,091</w:t>
                        </w:r>
                      </w:p>
                    </w:tc>
                    <w:tc>
                      <w:tcPr>
                        <w:tcW w:w="0" w:type="auto"/>
                        <w:tcBorders>
                          <w:bottom w:val="single" w:sz="6" w:space="0" w:color="D8DDEA"/>
                        </w:tcBorders>
                        <w:shd w:val="clear" w:color="auto" w:fill="FAFAFA"/>
                        <w:tcMar>
                          <w:top w:w="15" w:type="dxa"/>
                          <w:left w:w="0" w:type="dxa"/>
                          <w:bottom w:w="15" w:type="dxa"/>
                          <w:right w:w="0" w:type="dxa"/>
                        </w:tcMar>
                        <w:vAlign w:val="center"/>
                      </w:tcPr>
                      <w:p w14:paraId="20E6C89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6D67EF8E"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7FB2BFA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2022-23</w:t>
                        </w:r>
                      </w:p>
                    </w:tc>
                    <w:tc>
                      <w:tcPr>
                        <w:tcW w:w="0" w:type="auto"/>
                        <w:tcBorders>
                          <w:bottom w:val="single" w:sz="6" w:space="0" w:color="D8DDEA"/>
                        </w:tcBorders>
                        <w:shd w:val="clear" w:color="auto" w:fill="FAFAFA"/>
                        <w:tcMar>
                          <w:top w:w="15" w:type="dxa"/>
                          <w:left w:w="0" w:type="dxa"/>
                          <w:bottom w:w="15" w:type="dxa"/>
                          <w:right w:w="0" w:type="dxa"/>
                        </w:tcMar>
                        <w:vAlign w:val="center"/>
                      </w:tcPr>
                      <w:p w14:paraId="076EA09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32,549</w:t>
                        </w:r>
                      </w:p>
                    </w:tc>
                    <w:tc>
                      <w:tcPr>
                        <w:tcW w:w="0" w:type="auto"/>
                        <w:tcBorders>
                          <w:bottom w:val="single" w:sz="6" w:space="0" w:color="D8DDEA"/>
                        </w:tcBorders>
                        <w:shd w:val="clear" w:color="auto" w:fill="FAFAFA"/>
                        <w:tcMar>
                          <w:top w:w="15" w:type="dxa"/>
                          <w:left w:w="0" w:type="dxa"/>
                          <w:bottom w:w="15" w:type="dxa"/>
                          <w:right w:w="0" w:type="dxa"/>
                        </w:tcMar>
                        <w:vAlign w:val="center"/>
                      </w:tcPr>
                      <w:p w14:paraId="3A147D2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4,071</w:t>
                        </w:r>
                      </w:p>
                    </w:tc>
                    <w:tc>
                      <w:tcPr>
                        <w:tcW w:w="0" w:type="auto"/>
                        <w:tcBorders>
                          <w:bottom w:val="single" w:sz="6" w:space="0" w:color="D8DDEA"/>
                        </w:tcBorders>
                        <w:shd w:val="clear" w:color="auto" w:fill="FAFAFA"/>
                        <w:tcMar>
                          <w:top w:w="15" w:type="dxa"/>
                          <w:left w:w="0" w:type="dxa"/>
                          <w:bottom w:w="15" w:type="dxa"/>
                          <w:right w:w="0" w:type="dxa"/>
                        </w:tcMar>
                        <w:vAlign w:val="center"/>
                      </w:tcPr>
                      <w:p w14:paraId="3F11298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7,221</w:t>
                        </w:r>
                      </w:p>
                    </w:tc>
                    <w:tc>
                      <w:tcPr>
                        <w:tcW w:w="0" w:type="auto"/>
                        <w:tcBorders>
                          <w:bottom w:val="single" w:sz="6" w:space="0" w:color="D8DDEA"/>
                        </w:tcBorders>
                        <w:shd w:val="clear" w:color="auto" w:fill="FAFAFA"/>
                        <w:tcMar>
                          <w:top w:w="15" w:type="dxa"/>
                          <w:left w:w="0" w:type="dxa"/>
                          <w:bottom w:w="15" w:type="dxa"/>
                          <w:right w:w="0" w:type="dxa"/>
                        </w:tcMar>
                        <w:vAlign w:val="center"/>
                      </w:tcPr>
                      <w:p w14:paraId="10726E3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4,576</w:t>
                        </w:r>
                      </w:p>
                    </w:tc>
                    <w:tc>
                      <w:tcPr>
                        <w:tcW w:w="0" w:type="auto"/>
                        <w:tcBorders>
                          <w:bottom w:val="single" w:sz="6" w:space="0" w:color="D8DDEA"/>
                        </w:tcBorders>
                        <w:shd w:val="clear" w:color="auto" w:fill="FAFAFA"/>
                        <w:tcMar>
                          <w:top w:w="15" w:type="dxa"/>
                          <w:left w:w="0" w:type="dxa"/>
                          <w:bottom w:w="15" w:type="dxa"/>
                          <w:right w:w="0" w:type="dxa"/>
                        </w:tcMar>
                        <w:vAlign w:val="center"/>
                      </w:tcPr>
                      <w:p w14:paraId="10FB15D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57,533</w:t>
                        </w:r>
                      </w:p>
                    </w:tc>
                    <w:tc>
                      <w:tcPr>
                        <w:tcW w:w="0" w:type="auto"/>
                        <w:tcBorders>
                          <w:bottom w:val="single" w:sz="6" w:space="0" w:color="D8DDEA"/>
                        </w:tcBorders>
                        <w:shd w:val="clear" w:color="auto" w:fill="FAFAFA"/>
                        <w:tcMar>
                          <w:top w:w="15" w:type="dxa"/>
                          <w:left w:w="0" w:type="dxa"/>
                          <w:bottom w:w="15" w:type="dxa"/>
                          <w:right w:w="0" w:type="dxa"/>
                        </w:tcMar>
                        <w:vAlign w:val="center"/>
                      </w:tcPr>
                      <w:p w14:paraId="0B81952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542B31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ADC166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2,151</w:t>
                        </w:r>
                      </w:p>
                    </w:tc>
                    <w:tc>
                      <w:tcPr>
                        <w:tcW w:w="0" w:type="auto"/>
                        <w:tcBorders>
                          <w:bottom w:val="single" w:sz="6" w:space="0" w:color="D8DDEA"/>
                        </w:tcBorders>
                        <w:shd w:val="clear" w:color="auto" w:fill="FAFAFA"/>
                        <w:tcMar>
                          <w:top w:w="15" w:type="dxa"/>
                          <w:left w:w="0" w:type="dxa"/>
                          <w:bottom w:w="15" w:type="dxa"/>
                          <w:right w:w="0" w:type="dxa"/>
                        </w:tcMar>
                        <w:vAlign w:val="center"/>
                      </w:tcPr>
                      <w:p w14:paraId="185419A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3D9A2249"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475E120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2023-24</w:t>
                        </w:r>
                      </w:p>
                    </w:tc>
                    <w:tc>
                      <w:tcPr>
                        <w:tcW w:w="0" w:type="auto"/>
                        <w:tcBorders>
                          <w:bottom w:val="single" w:sz="6" w:space="0" w:color="D8DDEA"/>
                        </w:tcBorders>
                        <w:shd w:val="clear" w:color="auto" w:fill="FAFAFA"/>
                        <w:tcMar>
                          <w:top w:w="15" w:type="dxa"/>
                          <w:left w:w="0" w:type="dxa"/>
                          <w:bottom w:w="15" w:type="dxa"/>
                          <w:right w:w="0" w:type="dxa"/>
                        </w:tcMar>
                        <w:vAlign w:val="center"/>
                      </w:tcPr>
                      <w:p w14:paraId="7EE6385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33,363</w:t>
                        </w:r>
                      </w:p>
                    </w:tc>
                    <w:tc>
                      <w:tcPr>
                        <w:tcW w:w="0" w:type="auto"/>
                        <w:tcBorders>
                          <w:bottom w:val="single" w:sz="6" w:space="0" w:color="D8DDEA"/>
                        </w:tcBorders>
                        <w:shd w:val="clear" w:color="auto" w:fill="FAFAFA"/>
                        <w:tcMar>
                          <w:top w:w="15" w:type="dxa"/>
                          <w:left w:w="0" w:type="dxa"/>
                          <w:bottom w:w="15" w:type="dxa"/>
                          <w:right w:w="0" w:type="dxa"/>
                        </w:tcMar>
                        <w:vAlign w:val="center"/>
                      </w:tcPr>
                      <w:p w14:paraId="610C120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4,358</w:t>
                        </w:r>
                      </w:p>
                    </w:tc>
                    <w:tc>
                      <w:tcPr>
                        <w:tcW w:w="0" w:type="auto"/>
                        <w:tcBorders>
                          <w:bottom w:val="single" w:sz="6" w:space="0" w:color="D8DDEA"/>
                        </w:tcBorders>
                        <w:shd w:val="clear" w:color="auto" w:fill="FAFAFA"/>
                        <w:tcMar>
                          <w:top w:w="15" w:type="dxa"/>
                          <w:left w:w="0" w:type="dxa"/>
                          <w:bottom w:w="15" w:type="dxa"/>
                          <w:right w:w="0" w:type="dxa"/>
                        </w:tcMar>
                        <w:vAlign w:val="center"/>
                      </w:tcPr>
                      <w:p w14:paraId="271BBDC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7,286</w:t>
                        </w:r>
                      </w:p>
                    </w:tc>
                    <w:tc>
                      <w:tcPr>
                        <w:tcW w:w="0" w:type="auto"/>
                        <w:tcBorders>
                          <w:bottom w:val="single" w:sz="6" w:space="0" w:color="D8DDEA"/>
                        </w:tcBorders>
                        <w:shd w:val="clear" w:color="auto" w:fill="FAFAFA"/>
                        <w:tcMar>
                          <w:top w:w="15" w:type="dxa"/>
                          <w:left w:w="0" w:type="dxa"/>
                          <w:bottom w:w="15" w:type="dxa"/>
                          <w:right w:w="0" w:type="dxa"/>
                        </w:tcMar>
                        <w:vAlign w:val="center"/>
                      </w:tcPr>
                      <w:p w14:paraId="6E4B659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4,686</w:t>
                        </w:r>
                      </w:p>
                    </w:tc>
                    <w:tc>
                      <w:tcPr>
                        <w:tcW w:w="0" w:type="auto"/>
                        <w:tcBorders>
                          <w:bottom w:val="single" w:sz="6" w:space="0" w:color="D8DDEA"/>
                        </w:tcBorders>
                        <w:shd w:val="clear" w:color="auto" w:fill="FAFAFA"/>
                        <w:tcMar>
                          <w:top w:w="15" w:type="dxa"/>
                          <w:left w:w="0" w:type="dxa"/>
                          <w:bottom w:w="15" w:type="dxa"/>
                          <w:right w:w="0" w:type="dxa"/>
                        </w:tcMar>
                        <w:vAlign w:val="center"/>
                      </w:tcPr>
                      <w:p w14:paraId="5D85087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57,935</w:t>
                        </w:r>
                      </w:p>
                    </w:tc>
                    <w:tc>
                      <w:tcPr>
                        <w:tcW w:w="0" w:type="auto"/>
                        <w:tcBorders>
                          <w:bottom w:val="single" w:sz="6" w:space="0" w:color="D8DDEA"/>
                        </w:tcBorders>
                        <w:shd w:val="clear" w:color="auto" w:fill="FAFAFA"/>
                        <w:tcMar>
                          <w:top w:w="15" w:type="dxa"/>
                          <w:left w:w="0" w:type="dxa"/>
                          <w:bottom w:w="15" w:type="dxa"/>
                          <w:right w:w="0" w:type="dxa"/>
                        </w:tcMar>
                        <w:vAlign w:val="center"/>
                      </w:tcPr>
                      <w:p w14:paraId="53A31A3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330BCE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FCB50A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2,189</w:t>
                        </w:r>
                      </w:p>
                    </w:tc>
                    <w:tc>
                      <w:tcPr>
                        <w:tcW w:w="0" w:type="auto"/>
                        <w:tcBorders>
                          <w:bottom w:val="single" w:sz="6" w:space="0" w:color="D8DDEA"/>
                        </w:tcBorders>
                        <w:shd w:val="clear" w:color="auto" w:fill="FAFAFA"/>
                        <w:tcMar>
                          <w:top w:w="15" w:type="dxa"/>
                          <w:left w:w="0" w:type="dxa"/>
                          <w:bottom w:w="15" w:type="dxa"/>
                          <w:right w:w="0" w:type="dxa"/>
                        </w:tcMar>
                        <w:vAlign w:val="center"/>
                      </w:tcPr>
                      <w:p w14:paraId="65E281C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0A2F73F4"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D2226A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2024-25</w:t>
                        </w:r>
                      </w:p>
                    </w:tc>
                    <w:tc>
                      <w:tcPr>
                        <w:tcW w:w="0" w:type="auto"/>
                        <w:tcBorders>
                          <w:bottom w:val="single" w:sz="6" w:space="0" w:color="D8DDEA"/>
                        </w:tcBorders>
                        <w:shd w:val="clear" w:color="auto" w:fill="FAFAFA"/>
                        <w:tcMar>
                          <w:top w:w="15" w:type="dxa"/>
                          <w:left w:w="0" w:type="dxa"/>
                          <w:bottom w:w="15" w:type="dxa"/>
                          <w:right w:w="0" w:type="dxa"/>
                        </w:tcMar>
                        <w:vAlign w:val="center"/>
                      </w:tcPr>
                      <w:p w14:paraId="0232CB1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34,097</w:t>
                        </w:r>
                      </w:p>
                    </w:tc>
                    <w:tc>
                      <w:tcPr>
                        <w:tcW w:w="0" w:type="auto"/>
                        <w:tcBorders>
                          <w:bottom w:val="single" w:sz="6" w:space="0" w:color="D8DDEA"/>
                        </w:tcBorders>
                        <w:shd w:val="clear" w:color="auto" w:fill="FAFAFA"/>
                        <w:tcMar>
                          <w:top w:w="15" w:type="dxa"/>
                          <w:left w:w="0" w:type="dxa"/>
                          <w:bottom w:w="15" w:type="dxa"/>
                          <w:right w:w="0" w:type="dxa"/>
                        </w:tcMar>
                        <w:vAlign w:val="center"/>
                      </w:tcPr>
                      <w:p w14:paraId="71A5D7B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4,510</w:t>
                        </w:r>
                      </w:p>
                    </w:tc>
                    <w:tc>
                      <w:tcPr>
                        <w:tcW w:w="0" w:type="auto"/>
                        <w:tcBorders>
                          <w:bottom w:val="single" w:sz="6" w:space="0" w:color="D8DDEA"/>
                        </w:tcBorders>
                        <w:shd w:val="clear" w:color="auto" w:fill="FAFAFA"/>
                        <w:tcMar>
                          <w:top w:w="15" w:type="dxa"/>
                          <w:left w:w="0" w:type="dxa"/>
                          <w:bottom w:w="15" w:type="dxa"/>
                          <w:right w:w="0" w:type="dxa"/>
                        </w:tcMar>
                        <w:vAlign w:val="center"/>
                      </w:tcPr>
                      <w:p w14:paraId="025187B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7,432</w:t>
                        </w:r>
                      </w:p>
                    </w:tc>
                    <w:tc>
                      <w:tcPr>
                        <w:tcW w:w="0" w:type="auto"/>
                        <w:tcBorders>
                          <w:bottom w:val="single" w:sz="6" w:space="0" w:color="D8DDEA"/>
                        </w:tcBorders>
                        <w:shd w:val="clear" w:color="auto" w:fill="FAFAFA"/>
                        <w:tcMar>
                          <w:top w:w="15" w:type="dxa"/>
                          <w:left w:w="0" w:type="dxa"/>
                          <w:bottom w:w="15" w:type="dxa"/>
                          <w:right w:w="0" w:type="dxa"/>
                        </w:tcMar>
                        <w:vAlign w:val="center"/>
                      </w:tcPr>
                      <w:p w14:paraId="0CCF2D4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4,789</w:t>
                        </w:r>
                      </w:p>
                    </w:tc>
                    <w:tc>
                      <w:tcPr>
                        <w:tcW w:w="0" w:type="auto"/>
                        <w:tcBorders>
                          <w:bottom w:val="single" w:sz="6" w:space="0" w:color="D8DDEA"/>
                        </w:tcBorders>
                        <w:shd w:val="clear" w:color="auto" w:fill="FAFAFA"/>
                        <w:tcMar>
                          <w:top w:w="15" w:type="dxa"/>
                          <w:left w:w="0" w:type="dxa"/>
                          <w:bottom w:w="15" w:type="dxa"/>
                          <w:right w:w="0" w:type="dxa"/>
                        </w:tcMar>
                        <w:vAlign w:val="center"/>
                      </w:tcPr>
                      <w:p w14:paraId="0307C09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58,457</w:t>
                        </w:r>
                      </w:p>
                    </w:tc>
                    <w:tc>
                      <w:tcPr>
                        <w:tcW w:w="0" w:type="auto"/>
                        <w:tcBorders>
                          <w:bottom w:val="single" w:sz="6" w:space="0" w:color="D8DDEA"/>
                        </w:tcBorders>
                        <w:shd w:val="clear" w:color="auto" w:fill="FAFAFA"/>
                        <w:tcMar>
                          <w:top w:w="15" w:type="dxa"/>
                          <w:left w:w="0" w:type="dxa"/>
                          <w:bottom w:w="15" w:type="dxa"/>
                          <w:right w:w="0" w:type="dxa"/>
                        </w:tcMar>
                        <w:vAlign w:val="center"/>
                      </w:tcPr>
                      <w:p w14:paraId="5B73AD7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FD1C82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DF7A28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10222D4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47737C9A"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98020D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2025-26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2378EA1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34,711</w:t>
                        </w:r>
                      </w:p>
                    </w:tc>
                    <w:tc>
                      <w:tcPr>
                        <w:tcW w:w="0" w:type="auto"/>
                        <w:tcBorders>
                          <w:bottom w:val="single" w:sz="6" w:space="0" w:color="D8DDEA"/>
                        </w:tcBorders>
                        <w:shd w:val="clear" w:color="auto" w:fill="FAFAFA"/>
                        <w:tcMar>
                          <w:top w:w="15" w:type="dxa"/>
                          <w:left w:w="0" w:type="dxa"/>
                          <w:bottom w:w="15" w:type="dxa"/>
                          <w:right w:w="0" w:type="dxa"/>
                        </w:tcMar>
                        <w:vAlign w:val="center"/>
                      </w:tcPr>
                      <w:p w14:paraId="70B861B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4,761</w:t>
                        </w:r>
                      </w:p>
                    </w:tc>
                    <w:tc>
                      <w:tcPr>
                        <w:tcW w:w="0" w:type="auto"/>
                        <w:tcBorders>
                          <w:bottom w:val="single" w:sz="6" w:space="0" w:color="D8DDEA"/>
                        </w:tcBorders>
                        <w:shd w:val="clear" w:color="auto" w:fill="FAFAFA"/>
                        <w:tcMar>
                          <w:top w:w="15" w:type="dxa"/>
                          <w:left w:w="0" w:type="dxa"/>
                          <w:bottom w:w="15" w:type="dxa"/>
                          <w:right w:w="0" w:type="dxa"/>
                        </w:tcMar>
                        <w:vAlign w:val="center"/>
                      </w:tcPr>
                      <w:p w14:paraId="6C89BDF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7,543</w:t>
                        </w:r>
                      </w:p>
                    </w:tc>
                    <w:tc>
                      <w:tcPr>
                        <w:tcW w:w="0" w:type="auto"/>
                        <w:tcBorders>
                          <w:bottom w:val="single" w:sz="6" w:space="0" w:color="D8DDEA"/>
                        </w:tcBorders>
                        <w:shd w:val="clear" w:color="auto" w:fill="FAFAFA"/>
                        <w:tcMar>
                          <w:top w:w="15" w:type="dxa"/>
                          <w:left w:w="0" w:type="dxa"/>
                          <w:bottom w:w="15" w:type="dxa"/>
                          <w:right w:w="0" w:type="dxa"/>
                        </w:tcMar>
                        <w:vAlign w:val="center"/>
                      </w:tcPr>
                      <w:p w14:paraId="7B4A6D5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4,832</w:t>
                        </w:r>
                      </w:p>
                    </w:tc>
                    <w:tc>
                      <w:tcPr>
                        <w:tcW w:w="0" w:type="auto"/>
                        <w:tcBorders>
                          <w:bottom w:val="single" w:sz="6" w:space="0" w:color="D8DDEA"/>
                        </w:tcBorders>
                        <w:shd w:val="clear" w:color="auto" w:fill="FAFAFA"/>
                        <w:tcMar>
                          <w:top w:w="15" w:type="dxa"/>
                          <w:left w:w="0" w:type="dxa"/>
                          <w:bottom w:w="15" w:type="dxa"/>
                          <w:right w:w="0" w:type="dxa"/>
                        </w:tcMar>
                        <w:vAlign w:val="center"/>
                      </w:tcPr>
                      <w:p w14:paraId="7151D27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59,217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6B03DEB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E8326D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874AC7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2,262</w:t>
                        </w:r>
                      </w:p>
                    </w:tc>
                    <w:tc>
                      <w:tcPr>
                        <w:tcW w:w="0" w:type="auto"/>
                        <w:tcBorders>
                          <w:bottom w:val="single" w:sz="6" w:space="0" w:color="D8DDEA"/>
                        </w:tcBorders>
                        <w:shd w:val="clear" w:color="auto" w:fill="FAFAFA"/>
                        <w:tcMar>
                          <w:top w:w="15" w:type="dxa"/>
                          <w:left w:w="0" w:type="dxa"/>
                          <w:bottom w:w="15" w:type="dxa"/>
                          <w:right w:w="0" w:type="dxa"/>
                        </w:tcMar>
                        <w:vAlign w:val="center"/>
                      </w:tcPr>
                      <w:p w14:paraId="0F082B5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6FBC26F8"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347FEB2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2026-27</w:t>
                        </w:r>
                      </w:p>
                    </w:tc>
                    <w:tc>
                      <w:tcPr>
                        <w:tcW w:w="0" w:type="auto"/>
                        <w:tcBorders>
                          <w:bottom w:val="single" w:sz="6" w:space="0" w:color="D8DDEA"/>
                        </w:tcBorders>
                        <w:shd w:val="clear" w:color="auto" w:fill="FAFAFA"/>
                        <w:tcMar>
                          <w:top w:w="15" w:type="dxa"/>
                          <w:left w:w="0" w:type="dxa"/>
                          <w:bottom w:w="15" w:type="dxa"/>
                          <w:right w:w="0" w:type="dxa"/>
                        </w:tcMar>
                        <w:vAlign w:val="center"/>
                      </w:tcPr>
                      <w:p w14:paraId="2A6DDEE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35,995</w:t>
                        </w:r>
                      </w:p>
                    </w:tc>
                    <w:tc>
                      <w:tcPr>
                        <w:tcW w:w="0" w:type="auto"/>
                        <w:tcBorders>
                          <w:bottom w:val="single" w:sz="6" w:space="0" w:color="D8DDEA"/>
                        </w:tcBorders>
                        <w:shd w:val="clear" w:color="auto" w:fill="FAFAFA"/>
                        <w:tcMar>
                          <w:top w:w="15" w:type="dxa"/>
                          <w:left w:w="0" w:type="dxa"/>
                          <w:bottom w:w="15" w:type="dxa"/>
                          <w:right w:w="0" w:type="dxa"/>
                        </w:tcMar>
                        <w:vAlign w:val="center"/>
                      </w:tcPr>
                      <w:p w14:paraId="540D680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4,988</w:t>
                        </w:r>
                      </w:p>
                    </w:tc>
                    <w:tc>
                      <w:tcPr>
                        <w:tcW w:w="0" w:type="auto"/>
                        <w:tcBorders>
                          <w:bottom w:val="single" w:sz="6" w:space="0" w:color="D8DDEA"/>
                        </w:tcBorders>
                        <w:shd w:val="clear" w:color="auto" w:fill="FAFAFA"/>
                        <w:tcMar>
                          <w:top w:w="15" w:type="dxa"/>
                          <w:left w:w="0" w:type="dxa"/>
                          <w:bottom w:w="15" w:type="dxa"/>
                          <w:right w:w="0" w:type="dxa"/>
                        </w:tcMar>
                        <w:vAlign w:val="center"/>
                      </w:tcPr>
                      <w:p w14:paraId="215C0CF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7,619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636B0DD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4,881</w:t>
                        </w:r>
                      </w:p>
                    </w:tc>
                    <w:tc>
                      <w:tcPr>
                        <w:tcW w:w="0" w:type="auto"/>
                        <w:tcBorders>
                          <w:bottom w:val="single" w:sz="6" w:space="0" w:color="D8DDEA"/>
                        </w:tcBorders>
                        <w:shd w:val="clear" w:color="auto" w:fill="FAFAFA"/>
                        <w:tcMar>
                          <w:top w:w="15" w:type="dxa"/>
                          <w:left w:w="0" w:type="dxa"/>
                          <w:bottom w:w="15" w:type="dxa"/>
                          <w:right w:w="0" w:type="dxa"/>
                        </w:tcMar>
                        <w:vAlign w:val="center"/>
                      </w:tcPr>
                      <w:p w14:paraId="1CFED95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60,046</w:t>
                        </w:r>
                      </w:p>
                    </w:tc>
                    <w:tc>
                      <w:tcPr>
                        <w:tcW w:w="0" w:type="auto"/>
                        <w:tcBorders>
                          <w:bottom w:val="single" w:sz="6" w:space="0" w:color="D8DDEA"/>
                        </w:tcBorders>
                        <w:shd w:val="clear" w:color="auto" w:fill="FAFAFA"/>
                        <w:tcMar>
                          <w:top w:w="15" w:type="dxa"/>
                          <w:left w:w="0" w:type="dxa"/>
                          <w:bottom w:w="15" w:type="dxa"/>
                          <w:right w:w="0" w:type="dxa"/>
                        </w:tcMar>
                        <w:vAlign w:val="center"/>
                      </w:tcPr>
                      <w:p w14:paraId="77E45EC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F13F9E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C66695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2,324</w:t>
                        </w:r>
                      </w:p>
                    </w:tc>
                    <w:tc>
                      <w:tcPr>
                        <w:tcW w:w="0" w:type="auto"/>
                        <w:tcBorders>
                          <w:bottom w:val="single" w:sz="6" w:space="0" w:color="D8DDEA"/>
                        </w:tcBorders>
                        <w:shd w:val="clear" w:color="auto" w:fill="FAFAFA"/>
                        <w:tcMar>
                          <w:top w:w="15" w:type="dxa"/>
                          <w:left w:w="0" w:type="dxa"/>
                          <w:bottom w:w="15" w:type="dxa"/>
                          <w:right w:w="0" w:type="dxa"/>
                        </w:tcMar>
                        <w:vAlign w:val="center"/>
                      </w:tcPr>
                      <w:p w14:paraId="4FE3C2F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bl>
                <w:p w14:paraId="202FE7BD" w14:textId="77777777" w:rsidR="00B16DFE" w:rsidRDefault="00B16DFE"/>
              </w:tc>
            </w:tr>
          </w:tbl>
          <w:p w14:paraId="0FBEF274" w14:textId="77777777" w:rsidR="00B16DFE" w:rsidRDefault="00B16DFE"/>
        </w:tc>
      </w:tr>
    </w:tbl>
    <w:p w14:paraId="51A34C9A" w14:textId="77777777" w:rsidR="00B16DFE" w:rsidRDefault="009F0859">
      <w:pPr>
        <w:spacing w:after="0" w:line="225" w:lineRule="atLeast"/>
        <w:rPr>
          <w:rFonts w:ascii="Arial" w:eastAsia="Arial" w:hAnsi="Arial" w:cs="Arial"/>
          <w:sz w:val="16"/>
          <w:szCs w:val="16"/>
        </w:rPr>
      </w:pPr>
      <w:r>
        <w:br/>
      </w:r>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784A66A6" w14:textId="77777777">
        <w:tc>
          <w:tcPr>
            <w:tcW w:w="1000" w:type="pct"/>
          </w:tcPr>
          <w:p w14:paraId="00BE8FC8" w14:textId="77777777" w:rsidR="00B16DFE" w:rsidRDefault="009F0859">
            <w:pPr>
              <w:pStyle w:val="Heading2"/>
              <w:spacing w:before="0" w:line="270" w:lineRule="atLeast"/>
              <w:rPr>
                <w:rFonts w:ascii="Arial" w:eastAsia="Arial" w:hAnsi="Arial" w:cs="Arial"/>
                <w:color w:val="333333"/>
                <w:spacing w:val="4"/>
                <w:sz w:val="21"/>
                <w:szCs w:val="21"/>
              </w:rPr>
            </w:pPr>
            <w:bookmarkStart w:id="13" w:name="_Toc14"/>
            <w:r>
              <w:rPr>
                <w:rFonts w:ascii="Arial" w:eastAsia="Arial" w:hAnsi="Arial" w:cs="Arial"/>
                <w:color w:val="333333"/>
                <w:spacing w:val="4"/>
                <w:sz w:val="21"/>
                <w:szCs w:val="21"/>
              </w:rPr>
              <w:t>Industry Life Cycle</w:t>
            </w:r>
            <w:bookmarkEnd w:id="13"/>
          </w:p>
        </w:tc>
        <w:tc>
          <w:tcPr>
            <w:tcW w:w="4000" w:type="pct"/>
          </w:tcPr>
          <w:p w14:paraId="299EAB59" w14:textId="77777777" w:rsidR="00B16DFE" w:rsidRDefault="009F0859">
            <w:pPr>
              <w:keepNext/>
              <w:keepLines/>
              <w:spacing w:after="180" w:line="240" w:lineRule="atLeast"/>
              <w:rPr>
                <w:rFonts w:ascii="Arial" w:eastAsia="Arial" w:hAnsi="Arial" w:cs="Arial"/>
                <w:sz w:val="16"/>
                <w:szCs w:val="16"/>
              </w:rPr>
            </w:pPr>
            <w:r>
              <w:rPr>
                <w:rFonts w:ascii="Arial" w:eastAsia="Arial" w:hAnsi="Arial" w:cs="Arial"/>
                <w:b/>
                <w:bCs/>
                <w:sz w:val="18"/>
                <w:szCs w:val="18"/>
              </w:rPr>
              <w:t>The life cycle stage of this industry is </w:t>
            </w:r>
            <w:r>
              <w:rPr>
                <w:rFonts w:ascii="Arial" w:eastAsia="Arial" w:hAnsi="Arial" w:cs="Arial"/>
                <w:sz w:val="16"/>
                <w:szCs w:val="16"/>
              </w:rPr>
              <w:t xml:space="preserve"> </w:t>
            </w:r>
            <w:r>
              <w:rPr>
                <w:noProof/>
              </w:rPr>
              <w:drawing>
                <wp:inline distT="0" distB="0" distL="0" distR="0" wp14:anchorId="1350E1AA" wp14:editId="20EDE48B">
                  <wp:extent cx="91440" cy="91440"/>
                  <wp:effectExtent l="0" t="0" r="0" b="0"/>
                  <wp:docPr id="67" name="Picture 67" descr="Neutral"/>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52"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F58232"/>
                <w:sz w:val="18"/>
                <w:szCs w:val="18"/>
              </w:rPr>
              <w:t>Mature</w:t>
            </w:r>
          </w:p>
          <w:p w14:paraId="472037F2" w14:textId="77777777" w:rsidR="00B16DFE" w:rsidRDefault="009F0859">
            <w:pPr>
              <w:keepNext/>
              <w:keepLines/>
              <w:spacing w:after="180" w:line="165" w:lineRule="atLeast"/>
              <w:rPr>
                <w:rFonts w:ascii="Arial" w:eastAsia="Arial" w:hAnsi="Arial" w:cs="Arial"/>
                <w:sz w:val="15"/>
                <w:szCs w:val="15"/>
              </w:rPr>
            </w:pPr>
            <w:r>
              <w:rPr>
                <w:rFonts w:ascii="Arial" w:eastAsia="Arial" w:hAnsi="Arial" w:cs="Arial"/>
                <w:sz w:val="15"/>
                <w:szCs w:val="15"/>
              </w:rPr>
              <w:t>LIFE CYCLE REASONS</w:t>
            </w:r>
          </w:p>
          <w:p w14:paraId="3A0F1040" w14:textId="77777777" w:rsidR="00B16DFE" w:rsidRDefault="009F0859">
            <w:pPr>
              <w:keepNext/>
              <w:keepLines/>
              <w:numPr>
                <w:ilvl w:val="0"/>
                <w:numId w:val="5"/>
              </w:numPr>
              <w:spacing w:after="120" w:line="225" w:lineRule="atLeast"/>
              <w:ind w:left="0" w:hanging="240"/>
              <w:rPr>
                <w:rFonts w:ascii="Arial" w:eastAsia="Arial" w:hAnsi="Arial" w:cs="Arial"/>
                <w:sz w:val="16"/>
                <w:szCs w:val="16"/>
              </w:rPr>
            </w:pPr>
            <w:r>
              <w:rPr>
                <w:rFonts w:ascii="Arial" w:eastAsia="Arial" w:hAnsi="Arial" w:cs="Arial"/>
                <w:b/>
                <w:bCs/>
                <w:sz w:val="18"/>
                <w:szCs w:val="18"/>
              </w:rPr>
              <w:t>Product lines are well defined</w:t>
            </w:r>
          </w:p>
          <w:p w14:paraId="6EEF346C" w14:textId="77777777" w:rsidR="00B16DFE" w:rsidRDefault="009F0859">
            <w:pPr>
              <w:keepNext/>
              <w:keepLines/>
              <w:numPr>
                <w:ilvl w:val="0"/>
                <w:numId w:val="5"/>
              </w:numPr>
              <w:spacing w:after="120" w:line="225" w:lineRule="atLeast"/>
              <w:ind w:left="0" w:hanging="240"/>
              <w:rPr>
                <w:rFonts w:ascii="Arial" w:eastAsia="Arial" w:hAnsi="Arial" w:cs="Arial"/>
                <w:sz w:val="16"/>
                <w:szCs w:val="16"/>
              </w:rPr>
            </w:pPr>
            <w:r>
              <w:rPr>
                <w:rFonts w:ascii="Arial" w:eastAsia="Arial" w:hAnsi="Arial" w:cs="Arial"/>
                <w:b/>
                <w:bCs/>
                <w:sz w:val="18"/>
                <w:szCs w:val="18"/>
              </w:rPr>
              <w:t>Internal competition in the industry is increasing</w:t>
            </w:r>
          </w:p>
          <w:p w14:paraId="69BB16E2" w14:textId="77777777" w:rsidR="00B16DFE" w:rsidRDefault="009F0859">
            <w:pPr>
              <w:keepNext/>
              <w:keepLines/>
              <w:numPr>
                <w:ilvl w:val="0"/>
                <w:numId w:val="5"/>
              </w:numPr>
              <w:spacing w:after="120" w:line="225" w:lineRule="atLeast"/>
              <w:ind w:left="0" w:hanging="240"/>
              <w:rPr>
                <w:rFonts w:ascii="Arial" w:eastAsia="Arial" w:hAnsi="Arial" w:cs="Arial"/>
                <w:sz w:val="16"/>
                <w:szCs w:val="16"/>
              </w:rPr>
            </w:pPr>
            <w:r>
              <w:rPr>
                <w:rFonts w:ascii="Arial" w:eastAsia="Arial" w:hAnsi="Arial" w:cs="Arial"/>
                <w:b/>
                <w:bCs/>
                <w:sz w:val="18"/>
                <w:szCs w:val="18"/>
              </w:rPr>
              <w:t>Competition is based on price</w:t>
            </w:r>
          </w:p>
          <w:p w14:paraId="4969BB7C" w14:textId="77777777" w:rsidR="00B16DFE" w:rsidRDefault="009F0859">
            <w:pPr>
              <w:keepNext/>
              <w:keepLines/>
              <w:numPr>
                <w:ilvl w:val="0"/>
                <w:numId w:val="5"/>
              </w:numPr>
              <w:spacing w:after="240" w:line="225" w:lineRule="atLeast"/>
              <w:ind w:left="0" w:hanging="240"/>
              <w:rPr>
                <w:rFonts w:ascii="Arial" w:eastAsia="Arial" w:hAnsi="Arial" w:cs="Arial"/>
                <w:sz w:val="16"/>
                <w:szCs w:val="16"/>
              </w:rPr>
            </w:pPr>
            <w:r>
              <w:rPr>
                <w:rFonts w:ascii="Arial" w:eastAsia="Arial" w:hAnsi="Arial" w:cs="Arial"/>
                <w:b/>
                <w:bCs/>
                <w:sz w:val="18"/>
                <w:szCs w:val="18"/>
              </w:rPr>
              <w:t xml:space="preserve">IVA growth is expected to grow at a similar pace to </w:t>
            </w:r>
            <w:r>
              <w:rPr>
                <w:rFonts w:ascii="Arial" w:eastAsia="Arial" w:hAnsi="Arial" w:cs="Arial"/>
                <w:b/>
                <w:bCs/>
                <w:sz w:val="18"/>
                <w:szCs w:val="18"/>
              </w:rPr>
              <w:t>GDP growth over the decade through 2025-26</w:t>
            </w:r>
          </w:p>
        </w:tc>
      </w:tr>
    </w:tbl>
    <w:p w14:paraId="5950F001" w14:textId="77777777" w:rsidR="00B16DFE" w:rsidRDefault="00B16DFE">
      <w:pPr>
        <w:spacing w:after="0"/>
        <w:rPr>
          <w:vanish/>
        </w:rPr>
      </w:pPr>
    </w:p>
    <w:tbl>
      <w:tblPr>
        <w:tblW w:w="5000" w:type="pct"/>
        <w:tblBorders>
          <w:top w:val="nil"/>
          <w:left w:val="nil"/>
          <w:bottom w:val="nil"/>
          <w:right w:val="nil"/>
          <w:insideH w:val="nil"/>
          <w:insideV w:val="nil"/>
        </w:tblBorders>
        <w:tblLook w:val="04A0" w:firstRow="1" w:lastRow="0" w:firstColumn="1" w:lastColumn="0" w:noHBand="0" w:noVBand="1"/>
      </w:tblPr>
      <w:tblGrid>
        <w:gridCol w:w="10843"/>
      </w:tblGrid>
      <w:tr w:rsidR="00B16DFE" w14:paraId="647A7869" w14:textId="77777777">
        <w:tc>
          <w:tcPr>
            <w:tcW w:w="0" w:type="auto"/>
          </w:tcPr>
          <w:tbl>
            <w:tblPr>
              <w:tblW w:w="5000" w:type="pct"/>
              <w:tblBorders>
                <w:top w:val="nil"/>
                <w:left w:val="nil"/>
                <w:bottom w:val="nil"/>
                <w:right w:val="nil"/>
                <w:insideH w:val="nil"/>
                <w:insideV w:val="nil"/>
              </w:tblBorders>
              <w:tblLook w:val="04A0" w:firstRow="1" w:lastRow="0" w:firstColumn="1" w:lastColumn="0" w:noHBand="0" w:noVBand="1"/>
            </w:tblPr>
            <w:tblGrid>
              <w:gridCol w:w="10627"/>
            </w:tblGrid>
            <w:tr w:rsidR="00B16DFE" w14:paraId="50F6F0A1" w14:textId="77777777">
              <w:tc>
                <w:tcPr>
                  <w:tcW w:w="0" w:type="auto"/>
                </w:tcPr>
                <w:p w14:paraId="11144064" w14:textId="77777777" w:rsidR="00B16DFE" w:rsidRDefault="009F0859">
                  <w:pPr>
                    <w:keepNext/>
                    <w:keepLines/>
                    <w:spacing w:after="0" w:line="225" w:lineRule="atLeast"/>
                    <w:rPr>
                      <w:rFonts w:ascii="Arial" w:eastAsia="Arial" w:hAnsi="Arial" w:cs="Arial"/>
                      <w:sz w:val="16"/>
                      <w:szCs w:val="16"/>
                    </w:rPr>
                  </w:pPr>
                  <w:r>
                    <w:rPr>
                      <w:noProof/>
                    </w:rPr>
                    <w:lastRenderedPageBreak/>
                    <w:drawing>
                      <wp:inline distT="0" distB="0" distL="0" distR="0" wp14:anchorId="61655B4C" wp14:editId="086C524C">
                        <wp:extent cx="6477000" cy="3271212"/>
                        <wp:effectExtent l="0" t="0" r="0" b="0"/>
                        <wp:docPr id="69" name="Picture 69"/>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53" cstate="print"/>
                                <a:stretch>
                                  <a:fillRect/>
                                </a:stretch>
                              </pic:blipFill>
                              <pic:spPr>
                                <a:xfrm>
                                  <a:off x="0" y="0"/>
                                  <a:ext cx="6477000" cy="3271212"/>
                                </a:xfrm>
                                <a:prstGeom prst="rect">
                                  <a:avLst/>
                                </a:prstGeom>
                              </pic:spPr>
                            </pic:pic>
                          </a:graphicData>
                        </a:graphic>
                      </wp:inline>
                    </w:drawing>
                  </w:r>
                </w:p>
              </w:tc>
            </w:tr>
          </w:tbl>
          <w:p w14:paraId="2C7A2216" w14:textId="77777777" w:rsidR="00B16DFE" w:rsidRDefault="00B16DFE"/>
        </w:tc>
      </w:tr>
      <w:tr w:rsidR="00B16DFE" w14:paraId="65DF857D" w14:textId="77777777">
        <w:tc>
          <w:tcPr>
            <w:tcW w:w="0" w:type="auto"/>
          </w:tcPr>
          <w:tbl>
            <w:tblPr>
              <w:tblW w:w="5000" w:type="pct"/>
              <w:tblBorders>
                <w:top w:val="nil"/>
                <w:left w:val="nil"/>
                <w:bottom w:val="nil"/>
                <w:right w:val="nil"/>
                <w:insideH w:val="nil"/>
                <w:insideV w:val="nil"/>
              </w:tblBorders>
              <w:tblLook w:val="04A0" w:firstRow="1" w:lastRow="0" w:firstColumn="1" w:lastColumn="0" w:noHBand="0" w:noVBand="1"/>
            </w:tblPr>
            <w:tblGrid>
              <w:gridCol w:w="2125"/>
              <w:gridCol w:w="8502"/>
            </w:tblGrid>
            <w:tr w:rsidR="00B16DFE" w14:paraId="50DED975" w14:textId="77777777">
              <w:tc>
                <w:tcPr>
                  <w:tcW w:w="1000" w:type="pct"/>
                </w:tcPr>
                <w:p w14:paraId="496A4CDB" w14:textId="77777777" w:rsidR="00B16DFE" w:rsidRDefault="00B16DFE">
                  <w:pPr>
                    <w:keepNext/>
                    <w:keepLines/>
                  </w:pPr>
                </w:p>
              </w:tc>
              <w:tc>
                <w:tcPr>
                  <w:tcW w:w="4000" w:type="pct"/>
                </w:tcPr>
                <w:p w14:paraId="0E1338F1"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The industry is currently developing at two different speeds. Most high-street operators are in decline, but online platforms are growing, and the industry </w:t>
                  </w:r>
                  <w:proofErr w:type="gramStart"/>
                  <w:r>
                    <w:rPr>
                      <w:rFonts w:ascii="Arial" w:eastAsia="Arial" w:hAnsi="Arial" w:cs="Arial"/>
                      <w:sz w:val="16"/>
                      <w:szCs w:val="16"/>
                    </w:rPr>
                    <w:t>is considered to be</w:t>
                  </w:r>
                  <w:proofErr w:type="gramEnd"/>
                  <w:r>
                    <w:rPr>
                      <w:rFonts w:ascii="Arial" w:eastAsia="Arial" w:hAnsi="Arial" w:cs="Arial"/>
                      <w:sz w:val="16"/>
                      <w:szCs w:val="16"/>
                    </w:rPr>
                    <w:t xml:space="preserve"> mature overall. </w:t>
                  </w:r>
                  <w:r>
                    <w:rPr>
                      <w:rFonts w:ascii="Arial" w:eastAsia="Arial" w:hAnsi="Arial" w:cs="Arial"/>
                      <w:sz w:val="16"/>
                      <w:szCs w:val="16"/>
                    </w:rPr>
                    <w:t>Traditional bricks-and-mortar establishments are continuing to battle for their share of consumer spending against the increasingly popular travel booking websites. Over the five years through 2025-26, business and consumer bookings made online are expecte</w:t>
                  </w:r>
                  <w:r>
                    <w:rPr>
                      <w:rFonts w:ascii="Arial" w:eastAsia="Arial" w:hAnsi="Arial" w:cs="Arial"/>
                      <w:sz w:val="16"/>
                      <w:szCs w:val="16"/>
                    </w:rPr>
                    <w:t>d to rise from about 50% to approximately 70% of total travel bookings. Major players have increased the amount of content and services available online to boost revenue.</w:t>
                  </w:r>
                </w:p>
                <w:p w14:paraId="127C1EB1"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The industry has been negatively affected by disintermediation. Travel product suppli</w:t>
                  </w:r>
                  <w:r>
                    <w:rPr>
                      <w:rFonts w:ascii="Arial" w:eastAsia="Arial" w:hAnsi="Arial" w:cs="Arial"/>
                      <w:sz w:val="16"/>
                      <w:szCs w:val="16"/>
                    </w:rPr>
                    <w:t>ers are getting closer to customers and selling directly to them. This process eliminates many intermediaries that impose additional costs, such as commissions. The industry is also segmenting into large international operators and small niche agencies. Wh</w:t>
                  </w:r>
                  <w:r>
                    <w:rPr>
                      <w:rFonts w:ascii="Arial" w:eastAsia="Arial" w:hAnsi="Arial" w:cs="Arial"/>
                      <w:sz w:val="16"/>
                      <w:szCs w:val="16"/>
                    </w:rPr>
                    <w:t xml:space="preserve">ile travel agency websites are showing some growth, they are also competing against sites owned by travel operators. Travel operators' websites encourage their customers to book directly with them, offering competitive prices, customer loyalty schemes and </w:t>
                  </w:r>
                  <w:r>
                    <w:rPr>
                      <w:rFonts w:ascii="Arial" w:eastAsia="Arial" w:hAnsi="Arial" w:cs="Arial"/>
                      <w:sz w:val="16"/>
                      <w:szCs w:val="16"/>
                    </w:rPr>
                    <w:t>bonuses.</w:t>
                  </w:r>
                </w:p>
                <w:p w14:paraId="3EB21510"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Overall, the industry is expected to record moderate growth in revenue, mostly achieved by travel agency websites. Over the 10 years through 2025-26, industry value added, a measure of the industry's contribution to the overall economy, is expecte</w:t>
                  </w:r>
                  <w:r>
                    <w:rPr>
                      <w:rFonts w:ascii="Arial" w:eastAsia="Arial" w:hAnsi="Arial" w:cs="Arial"/>
                      <w:sz w:val="16"/>
                      <w:szCs w:val="16"/>
                    </w:rPr>
                    <w:t>d to grow at a compound annual rate of 0.9%. The UK economy is expected to grow at a similar compound annual rate of 1.3% over the same period, which is a defining characteristic of a mature industry.</w:t>
                  </w:r>
                </w:p>
              </w:tc>
            </w:tr>
          </w:tbl>
          <w:p w14:paraId="104944C2" w14:textId="77777777" w:rsidR="00B16DFE" w:rsidRDefault="00B16DFE"/>
        </w:tc>
      </w:tr>
    </w:tbl>
    <w:p w14:paraId="4B110365" w14:textId="77777777" w:rsidR="00B16DFE" w:rsidRDefault="00B16DFE">
      <w:pPr>
        <w:sectPr w:rsidR="00B16DFE">
          <w:headerReference w:type="default" r:id="rId54"/>
          <w:footerReference w:type="default" r:id="rId55"/>
          <w:pgSz w:w="11907" w:h="16839" w:code="9"/>
          <w:pgMar w:top="640" w:right="640" w:bottom="640" w:left="640" w:header="0" w:footer="0" w:gutter="0"/>
          <w:cols w:space="708"/>
          <w:docGrid w:linePitch="360"/>
        </w:sectPr>
      </w:pPr>
    </w:p>
    <w:p w14:paraId="66BC249D" w14:textId="77777777" w:rsidR="00B16DFE" w:rsidRDefault="009F0859">
      <w:pPr>
        <w:pStyle w:val="Heading1"/>
        <w:spacing w:before="0" w:after="240" w:line="420" w:lineRule="atLeast"/>
        <w:rPr>
          <w:rFonts w:ascii="Arial" w:eastAsia="Arial" w:hAnsi="Arial" w:cs="Arial"/>
          <w:b w:val="0"/>
          <w:bCs w:val="0"/>
          <w:color w:val="333333"/>
          <w:sz w:val="36"/>
          <w:szCs w:val="36"/>
        </w:rPr>
      </w:pPr>
      <w:bookmarkStart w:id="14" w:name="_Toc15"/>
      <w:r>
        <w:rPr>
          <w:rFonts w:ascii="Arial" w:eastAsia="Arial" w:hAnsi="Arial" w:cs="Arial"/>
          <w:b w:val="0"/>
          <w:bCs w:val="0"/>
          <w:color w:val="333333"/>
          <w:sz w:val="36"/>
          <w:szCs w:val="36"/>
        </w:rPr>
        <w:lastRenderedPageBreak/>
        <w:t>Products &amp; Markets</w:t>
      </w:r>
      <w:bookmarkEnd w:id="14"/>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2F6D61E3"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2125"/>
              <w:gridCol w:w="4251"/>
              <w:gridCol w:w="4251"/>
            </w:tblGrid>
            <w:tr w:rsidR="00B16DFE" w14:paraId="4EF70ADF" w14:textId="77777777">
              <w:tc>
                <w:tcPr>
                  <w:tcW w:w="1000" w:type="pct"/>
                </w:tcPr>
                <w:p w14:paraId="5AD57C97" w14:textId="77777777" w:rsidR="00B16DFE" w:rsidRDefault="009F0859">
                  <w:pPr>
                    <w:pStyle w:val="Heading2"/>
                    <w:spacing w:before="0" w:line="270" w:lineRule="atLeast"/>
                    <w:rPr>
                      <w:rFonts w:ascii="Arial" w:eastAsia="Arial" w:hAnsi="Arial" w:cs="Arial"/>
                      <w:color w:val="333333"/>
                      <w:spacing w:val="4"/>
                      <w:sz w:val="21"/>
                      <w:szCs w:val="21"/>
                    </w:rPr>
                  </w:pPr>
                  <w:bookmarkStart w:id="15" w:name="_Toc16"/>
                  <w:r>
                    <w:rPr>
                      <w:rFonts w:ascii="Arial" w:eastAsia="Arial" w:hAnsi="Arial" w:cs="Arial"/>
                      <w:color w:val="333333"/>
                      <w:spacing w:val="4"/>
                      <w:sz w:val="21"/>
                      <w:szCs w:val="21"/>
                    </w:rPr>
                    <w:t>Supply Chain</w:t>
                  </w:r>
                  <w:bookmarkEnd w:id="15"/>
                </w:p>
              </w:tc>
              <w:tc>
                <w:tcPr>
                  <w:tcW w:w="2000" w:type="pct"/>
                </w:tcPr>
                <w:tbl>
                  <w:tblPr>
                    <w:tblW w:w="4500" w:type="pct"/>
                    <w:tblCellSpacing w:w="0" w:type="dxa"/>
                    <w:tblBorders>
                      <w:top w:val="nil"/>
                      <w:left w:val="nil"/>
                      <w:bottom w:val="nil"/>
                      <w:right w:val="nil"/>
                      <w:insideH w:val="nil"/>
                      <w:insideV w:val="nil"/>
                    </w:tblBorders>
                    <w:tblLook w:val="04A0" w:firstRow="1" w:lastRow="0" w:firstColumn="1" w:lastColumn="0" w:noHBand="0" w:noVBand="1"/>
                  </w:tblPr>
                  <w:tblGrid>
                    <w:gridCol w:w="3632"/>
                  </w:tblGrid>
                  <w:tr w:rsidR="00B16DFE" w14:paraId="302B4B7D" w14:textId="77777777">
                    <w:trPr>
                      <w:tblHeader/>
                      <w:tblCellSpacing w:w="0" w:type="dxa"/>
                    </w:trPr>
                    <w:tc>
                      <w:tcPr>
                        <w:tcW w:w="0" w:type="auto"/>
                        <w:tcMar>
                          <w:top w:w="0" w:type="dxa"/>
                          <w:left w:w="60" w:type="dxa"/>
                          <w:bottom w:w="0" w:type="dxa"/>
                          <w:right w:w="0" w:type="dxa"/>
                        </w:tcMar>
                        <w:vAlign w:val="center"/>
                      </w:tcPr>
                      <w:p w14:paraId="4B1999BA" w14:textId="77777777" w:rsidR="00B16DFE" w:rsidRDefault="009F0859">
                        <w:pPr>
                          <w:keepNext/>
                          <w:keepLines/>
                          <w:spacing w:after="0" w:line="270" w:lineRule="atLeast"/>
                          <w:ind w:left="-60"/>
                          <w:rPr>
                            <w:rFonts w:ascii="Arial" w:eastAsia="Arial" w:hAnsi="Arial" w:cs="Arial"/>
                            <w:b/>
                            <w:bCs/>
                            <w:color w:val="333333"/>
                            <w:sz w:val="18"/>
                            <w:szCs w:val="18"/>
                          </w:rPr>
                        </w:pPr>
                        <w:r>
                          <w:rPr>
                            <w:rFonts w:ascii="Arial" w:eastAsia="Arial" w:hAnsi="Arial" w:cs="Arial"/>
                            <w:b/>
                            <w:bCs/>
                            <w:color w:val="333333"/>
                            <w:sz w:val="18"/>
                            <w:szCs w:val="18"/>
                          </w:rPr>
                          <w:t>Key Buying Industries</w:t>
                        </w:r>
                      </w:p>
                    </w:tc>
                  </w:tr>
                  <w:tr w:rsidR="00B16DFE" w14:paraId="61558094" w14:textId="77777777">
                    <w:trPr>
                      <w:tblCellSpacing w:w="0" w:type="dxa"/>
                    </w:trPr>
                    <w:tc>
                      <w:tcPr>
                        <w:tcW w:w="800" w:type="pct"/>
                        <w:tcMar>
                          <w:top w:w="60" w:type="dxa"/>
                          <w:left w:w="0" w:type="dxa"/>
                          <w:bottom w:w="60" w:type="dxa"/>
                          <w:right w:w="0" w:type="dxa"/>
                        </w:tcMar>
                        <w:vAlign w:val="center"/>
                      </w:tcPr>
                      <w:p w14:paraId="07FBC8DD"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b/>
                            <w:bCs/>
                            <w:sz w:val="15"/>
                            <w:szCs w:val="15"/>
                          </w:rPr>
                          <w:t>1st Tier</w:t>
                        </w:r>
                      </w:p>
                    </w:tc>
                  </w:tr>
                  <w:tr w:rsidR="00B16DFE" w14:paraId="375AC208"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283293BF"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Research on Natural Sciences &amp; Engineering in the UK</w:t>
                        </w:r>
                      </w:p>
                    </w:tc>
                  </w:tr>
                  <w:tr w:rsidR="00B16DFE" w14:paraId="3826BA7A"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2FD276DD"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Consumers in the UK</w:t>
                        </w:r>
                      </w:p>
                    </w:tc>
                  </w:tr>
                  <w:tr w:rsidR="00B16DFE" w14:paraId="06C9AA59"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40CCAB05"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Photographic Activities in the UK</w:t>
                        </w:r>
                      </w:p>
                    </w:tc>
                  </w:tr>
                  <w:tr w:rsidR="00B16DFE" w14:paraId="5E598FA9"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0198CF69"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 xml:space="preserve">Management </w:t>
                        </w:r>
                        <w:r>
                          <w:rPr>
                            <w:rFonts w:ascii="Arial" w:eastAsia="Arial" w:hAnsi="Arial" w:cs="Arial"/>
                            <w:sz w:val="15"/>
                            <w:szCs w:val="15"/>
                          </w:rPr>
                          <w:t>Consultants in the UK</w:t>
                        </w:r>
                      </w:p>
                    </w:tc>
                  </w:tr>
                  <w:tr w:rsidR="00B16DFE" w14:paraId="0B4F03D8"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2CE94028"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Activities of Head Offices in the UK</w:t>
                        </w:r>
                      </w:p>
                    </w:tc>
                  </w:tr>
                  <w:tr w:rsidR="00B16DFE" w14:paraId="1E707C6D" w14:textId="77777777">
                    <w:trPr>
                      <w:tblCellSpacing w:w="0" w:type="dxa"/>
                    </w:trPr>
                    <w:tc>
                      <w:tcPr>
                        <w:tcW w:w="800" w:type="pct"/>
                        <w:tcMar>
                          <w:top w:w="60" w:type="dxa"/>
                          <w:left w:w="0" w:type="dxa"/>
                          <w:bottom w:w="60" w:type="dxa"/>
                          <w:right w:w="0" w:type="dxa"/>
                        </w:tcMar>
                        <w:vAlign w:val="center"/>
                      </w:tcPr>
                      <w:p w14:paraId="7153299E"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b/>
                            <w:bCs/>
                            <w:sz w:val="15"/>
                            <w:szCs w:val="15"/>
                          </w:rPr>
                          <w:t>2nd Tier</w:t>
                        </w:r>
                      </w:p>
                    </w:tc>
                  </w:tr>
                  <w:tr w:rsidR="00B16DFE" w14:paraId="39F1CA06"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5C6215F9"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Crude Petroleum &amp; Natural Gas Extraction in the UK</w:t>
                        </w:r>
                      </w:p>
                    </w:tc>
                  </w:tr>
                </w:tbl>
                <w:p w14:paraId="0BE0167C" w14:textId="77777777" w:rsidR="00B16DFE" w:rsidRDefault="00B16DFE"/>
              </w:tc>
              <w:tc>
                <w:tcPr>
                  <w:tcW w:w="2000" w:type="pct"/>
                </w:tcPr>
                <w:tbl>
                  <w:tblPr>
                    <w:tblW w:w="4500" w:type="pct"/>
                    <w:tblCellSpacing w:w="0" w:type="dxa"/>
                    <w:tblBorders>
                      <w:top w:val="nil"/>
                      <w:left w:val="nil"/>
                      <w:bottom w:val="nil"/>
                      <w:right w:val="nil"/>
                      <w:insideH w:val="nil"/>
                      <w:insideV w:val="nil"/>
                    </w:tblBorders>
                    <w:tblLook w:val="04A0" w:firstRow="1" w:lastRow="0" w:firstColumn="1" w:lastColumn="0" w:noHBand="0" w:noVBand="1"/>
                  </w:tblPr>
                  <w:tblGrid>
                    <w:gridCol w:w="3632"/>
                  </w:tblGrid>
                  <w:tr w:rsidR="00B16DFE" w14:paraId="464C40A3" w14:textId="77777777">
                    <w:trPr>
                      <w:tblHeader/>
                      <w:tblCellSpacing w:w="0" w:type="dxa"/>
                    </w:trPr>
                    <w:tc>
                      <w:tcPr>
                        <w:tcW w:w="0" w:type="auto"/>
                        <w:tcMar>
                          <w:top w:w="0" w:type="dxa"/>
                          <w:left w:w="60" w:type="dxa"/>
                          <w:bottom w:w="0" w:type="dxa"/>
                          <w:right w:w="0" w:type="dxa"/>
                        </w:tcMar>
                        <w:vAlign w:val="center"/>
                      </w:tcPr>
                      <w:p w14:paraId="2ECB3F68" w14:textId="77777777" w:rsidR="00B16DFE" w:rsidRDefault="009F0859">
                        <w:pPr>
                          <w:keepNext/>
                          <w:keepLines/>
                          <w:spacing w:after="0" w:line="270" w:lineRule="atLeast"/>
                          <w:ind w:left="-60"/>
                          <w:rPr>
                            <w:rFonts w:ascii="Arial" w:eastAsia="Arial" w:hAnsi="Arial" w:cs="Arial"/>
                            <w:b/>
                            <w:bCs/>
                            <w:color w:val="333333"/>
                            <w:sz w:val="18"/>
                            <w:szCs w:val="18"/>
                          </w:rPr>
                        </w:pPr>
                        <w:r>
                          <w:rPr>
                            <w:rFonts w:ascii="Arial" w:eastAsia="Arial" w:hAnsi="Arial" w:cs="Arial"/>
                            <w:b/>
                            <w:bCs/>
                            <w:color w:val="333333"/>
                            <w:sz w:val="18"/>
                            <w:szCs w:val="18"/>
                          </w:rPr>
                          <w:t>Key Selling Industries</w:t>
                        </w:r>
                      </w:p>
                    </w:tc>
                  </w:tr>
                  <w:tr w:rsidR="00B16DFE" w14:paraId="3E5E88F4" w14:textId="77777777">
                    <w:trPr>
                      <w:tblCellSpacing w:w="0" w:type="dxa"/>
                    </w:trPr>
                    <w:tc>
                      <w:tcPr>
                        <w:tcW w:w="800" w:type="pct"/>
                        <w:tcMar>
                          <w:top w:w="60" w:type="dxa"/>
                          <w:left w:w="0" w:type="dxa"/>
                          <w:bottom w:w="60" w:type="dxa"/>
                          <w:right w:w="0" w:type="dxa"/>
                        </w:tcMar>
                        <w:vAlign w:val="center"/>
                      </w:tcPr>
                      <w:p w14:paraId="76588E78"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b/>
                            <w:bCs/>
                            <w:sz w:val="15"/>
                            <w:szCs w:val="15"/>
                          </w:rPr>
                          <w:t>1st Tier</w:t>
                        </w:r>
                      </w:p>
                    </w:tc>
                  </w:tr>
                  <w:tr w:rsidR="00B16DFE" w14:paraId="0E7AB2D2"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4BB8E01E"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Intercity Passenger Rail Transport in the UK</w:t>
                        </w:r>
                      </w:p>
                    </w:tc>
                  </w:tr>
                  <w:tr w:rsidR="00B16DFE" w14:paraId="4CDB74E8"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142AE68D"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Urban Passenger Rail Operations in the UK</w:t>
                        </w:r>
                      </w:p>
                    </w:tc>
                  </w:tr>
                  <w:tr w:rsidR="00B16DFE" w14:paraId="7556B5D8"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1A20BF47"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 xml:space="preserve">Bus &amp; </w:t>
                        </w:r>
                        <w:r>
                          <w:rPr>
                            <w:rFonts w:ascii="Arial" w:eastAsia="Arial" w:hAnsi="Arial" w:cs="Arial"/>
                            <w:sz w:val="15"/>
                            <w:szCs w:val="15"/>
                          </w:rPr>
                          <w:t>Tramway Operations in the UK</w:t>
                        </w:r>
                      </w:p>
                    </w:tc>
                  </w:tr>
                  <w:tr w:rsidR="00B16DFE" w14:paraId="66B25693"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1A8B225F"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Sea &amp; Coastal Passenger Water Transport in the UK</w:t>
                        </w:r>
                      </w:p>
                    </w:tc>
                  </w:tr>
                  <w:tr w:rsidR="00B16DFE" w14:paraId="1B68EB27"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62B02ADA"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Inland Passenger Water Transport in the UK</w:t>
                        </w:r>
                      </w:p>
                    </w:tc>
                  </w:tr>
                  <w:tr w:rsidR="00B16DFE" w14:paraId="0354D73E" w14:textId="77777777">
                    <w:trPr>
                      <w:tblCellSpacing w:w="0" w:type="dxa"/>
                    </w:trPr>
                    <w:tc>
                      <w:tcPr>
                        <w:tcW w:w="800" w:type="pct"/>
                        <w:tcMar>
                          <w:top w:w="60" w:type="dxa"/>
                          <w:left w:w="0" w:type="dxa"/>
                          <w:bottom w:w="60" w:type="dxa"/>
                          <w:right w:w="0" w:type="dxa"/>
                        </w:tcMar>
                        <w:vAlign w:val="center"/>
                      </w:tcPr>
                      <w:p w14:paraId="2311F79C"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b/>
                            <w:bCs/>
                            <w:sz w:val="15"/>
                            <w:szCs w:val="15"/>
                          </w:rPr>
                          <w:t>2nd Tier</w:t>
                        </w:r>
                      </w:p>
                    </w:tc>
                  </w:tr>
                  <w:tr w:rsidR="00B16DFE" w14:paraId="6168EBE7" w14:textId="77777777">
                    <w:trPr>
                      <w:tblCellSpacing w:w="0" w:type="dxa"/>
                    </w:trPr>
                    <w:tc>
                      <w:tcPr>
                        <w:tcW w:w="800" w:type="pct"/>
                        <w:tcBorders>
                          <w:bottom w:val="single" w:sz="6" w:space="0" w:color="CCCCCC"/>
                        </w:tcBorders>
                        <w:tcMar>
                          <w:top w:w="60" w:type="dxa"/>
                          <w:left w:w="0" w:type="dxa"/>
                          <w:bottom w:w="60" w:type="dxa"/>
                          <w:right w:w="0" w:type="dxa"/>
                        </w:tcMar>
                        <w:vAlign w:val="center"/>
                      </w:tcPr>
                      <w:p w14:paraId="68D22882"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5"/>
                            <w:szCs w:val="15"/>
                          </w:rPr>
                          <w:t>Scheduled Passenger Air Transport in the UK</w:t>
                        </w:r>
                      </w:p>
                    </w:tc>
                  </w:tr>
                </w:tbl>
                <w:p w14:paraId="112EE43F" w14:textId="77777777" w:rsidR="00B16DFE" w:rsidRDefault="00B16DFE"/>
              </w:tc>
            </w:tr>
          </w:tbl>
          <w:p w14:paraId="7668D983" w14:textId="77777777" w:rsidR="00B16DFE" w:rsidRDefault="00B16DFE"/>
        </w:tc>
      </w:tr>
      <w:tr w:rsidR="00B16DFE" w14:paraId="4D3249C4" w14:textId="77777777">
        <w:tc>
          <w:tcPr>
            <w:tcW w:w="4000" w:type="pct"/>
            <w:gridSpan w:val="2"/>
          </w:tcPr>
          <w:p w14:paraId="12511F81" w14:textId="77777777" w:rsidR="00B16DFE" w:rsidRDefault="00B16DFE">
            <w:pPr>
              <w:keepNext/>
              <w:keepLines/>
              <w:spacing w:after="0" w:line="225" w:lineRule="atLeast"/>
              <w:rPr>
                <w:rFonts w:ascii="Arial" w:eastAsia="Arial" w:hAnsi="Arial" w:cs="Arial"/>
                <w:sz w:val="16"/>
                <w:szCs w:val="16"/>
              </w:rPr>
            </w:pPr>
          </w:p>
        </w:tc>
      </w:tr>
      <w:tr w:rsidR="00B16DFE" w14:paraId="0A77180B" w14:textId="77777777">
        <w:tc>
          <w:tcPr>
            <w:tcW w:w="1000" w:type="pct"/>
          </w:tcPr>
          <w:p w14:paraId="1D44BCFF" w14:textId="77777777" w:rsidR="00B16DFE" w:rsidRDefault="009F0859">
            <w:pPr>
              <w:pStyle w:val="Heading2"/>
              <w:spacing w:before="0" w:line="270" w:lineRule="atLeast"/>
              <w:rPr>
                <w:rFonts w:ascii="Arial" w:eastAsia="Arial" w:hAnsi="Arial" w:cs="Arial"/>
                <w:color w:val="333333"/>
                <w:spacing w:val="4"/>
                <w:sz w:val="21"/>
                <w:szCs w:val="21"/>
              </w:rPr>
            </w:pPr>
            <w:bookmarkStart w:id="16" w:name="_Toc17"/>
            <w:r>
              <w:rPr>
                <w:rFonts w:ascii="Arial" w:eastAsia="Arial" w:hAnsi="Arial" w:cs="Arial"/>
                <w:color w:val="333333"/>
                <w:spacing w:val="4"/>
                <w:sz w:val="21"/>
                <w:szCs w:val="21"/>
              </w:rPr>
              <w:t>Products &amp; Services</w:t>
            </w:r>
            <w:bookmarkEnd w:id="16"/>
          </w:p>
        </w:tc>
        <w:tc>
          <w:tcPr>
            <w:tcW w:w="4000" w:type="pct"/>
          </w:tcPr>
          <w:p w14:paraId="71133F7A"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3E9DDF5D" wp14:editId="498EBDA3">
                  <wp:extent cx="5238750" cy="2571750"/>
                  <wp:effectExtent l="0" t="0" r="0" b="0"/>
                  <wp:docPr id="71" name="Picture 7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56" cstate="print"/>
                          <a:stretch>
                            <a:fillRect/>
                          </a:stretch>
                        </pic:blipFill>
                        <pic:spPr>
                          <a:xfrm>
                            <a:off x="0" y="0"/>
                            <a:ext cx="5238750" cy="2571750"/>
                          </a:xfrm>
                          <a:prstGeom prst="rect">
                            <a:avLst/>
                          </a:prstGeom>
                        </pic:spPr>
                      </pic:pic>
                    </a:graphicData>
                  </a:graphic>
                </wp:inline>
              </w:drawing>
            </w:r>
          </w:p>
        </w:tc>
      </w:tr>
      <w:tr w:rsidR="00B16DFE" w14:paraId="2000FB63" w14:textId="77777777">
        <w:tc>
          <w:tcPr>
            <w:tcW w:w="4000" w:type="pct"/>
            <w:gridSpan w:val="2"/>
          </w:tcPr>
          <w:p w14:paraId="15E2270E" w14:textId="77777777" w:rsidR="00B16DFE" w:rsidRDefault="00B16DFE">
            <w:pPr>
              <w:keepNext/>
              <w:keepLines/>
              <w:spacing w:after="0" w:line="225" w:lineRule="atLeast"/>
              <w:rPr>
                <w:rFonts w:ascii="Arial" w:eastAsia="Arial" w:hAnsi="Arial" w:cs="Arial"/>
                <w:sz w:val="16"/>
                <w:szCs w:val="16"/>
              </w:rPr>
            </w:pPr>
          </w:p>
        </w:tc>
      </w:tr>
      <w:tr w:rsidR="00B16DFE" w14:paraId="2E883DEB" w14:textId="77777777">
        <w:tc>
          <w:tcPr>
            <w:tcW w:w="1000" w:type="pct"/>
          </w:tcPr>
          <w:p w14:paraId="60B8BA63"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29D3555D"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Online booking services</w:t>
            </w:r>
          </w:p>
          <w:p w14:paraId="2B7E8BC1"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 xml:space="preserve">The UK online </w:t>
            </w:r>
            <w:r>
              <w:rPr>
                <w:rFonts w:ascii="Arial" w:eastAsia="Arial" w:hAnsi="Arial" w:cs="Arial"/>
                <w:b/>
                <w:bCs/>
                <w:color w:val="7A1315"/>
                <w:sz w:val="24"/>
                <w:szCs w:val="24"/>
              </w:rPr>
              <w:t>travel agency market is one of the largest in Europe and ahead of Germany and France.</w:t>
            </w:r>
          </w:p>
          <w:p w14:paraId="30C44315" w14:textId="77777777" w:rsidR="00B16DFE" w:rsidRDefault="00B16DFE">
            <w:pPr>
              <w:keepNext/>
              <w:keepLines/>
              <w:spacing w:after="0" w:line="225" w:lineRule="atLeast"/>
              <w:rPr>
                <w:rFonts w:ascii="Arial" w:eastAsia="Arial" w:hAnsi="Arial" w:cs="Arial"/>
                <w:sz w:val="16"/>
                <w:szCs w:val="16"/>
              </w:rPr>
            </w:pPr>
          </w:p>
          <w:p w14:paraId="744E398B"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 xml:space="preserve">Over the past decade, the online market has grown from slightly more than 10% of industry revenue to an expected 68.9% in 2020-21. The online travel segment </w:t>
            </w:r>
            <w:r>
              <w:rPr>
                <w:rFonts w:ascii="Arial" w:eastAsia="Arial" w:hAnsi="Arial" w:cs="Arial"/>
                <w:sz w:val="16"/>
                <w:szCs w:val="16"/>
              </w:rPr>
              <w:t>relates only to travel websites that offer flights with a range of airlines, accommodation and other products, such as Expedia. It excludes the websites operated by major airlines and accommodation chains since these are included in other industries.</w:t>
            </w:r>
          </w:p>
          <w:p w14:paraId="78027D2F"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Websi</w:t>
            </w:r>
            <w:r>
              <w:rPr>
                <w:rFonts w:ascii="Arial" w:eastAsia="Arial" w:hAnsi="Arial" w:cs="Arial"/>
                <w:sz w:val="16"/>
                <w:szCs w:val="16"/>
              </w:rPr>
              <w:t xml:space="preserve">tes have the advantage of being accessible 24 hours a day, so they trade on convenience. Many online operators can also offer more attractive prices than their competitors because they have far lower operating and overhead costs than shop-front operators. </w:t>
            </w:r>
            <w:r>
              <w:rPr>
                <w:rFonts w:ascii="Arial" w:eastAsia="Arial" w:hAnsi="Arial" w:cs="Arial"/>
                <w:sz w:val="16"/>
                <w:szCs w:val="16"/>
              </w:rPr>
              <w:t>Many currently charge no booking fees. One of the advantages associated with these websites from the tourism operators' perspective is that the prices offered online can be adjusted rapidly to match demand and vacancies, including for last-minute bookings.</w:t>
            </w:r>
          </w:p>
          <w:p w14:paraId="12895F4D"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The online travel segment is continuing to expand rapidly, leading to fragmentation and the existence of many niche operators. These operators tend to be more capital than labour intensive, although many websites are linked to call centres that provide cu</w:t>
            </w:r>
            <w:r>
              <w:rPr>
                <w:rFonts w:ascii="Arial" w:eastAsia="Arial" w:hAnsi="Arial" w:cs="Arial"/>
                <w:sz w:val="16"/>
                <w:szCs w:val="16"/>
              </w:rPr>
              <w:t>stomer support services. The growth of the online segment has been backed by developments in the way people can book. A 2013 survey by the Association of British Travel Agents found that approximately 20% of online bookings were made using a mobile phone o</w:t>
            </w:r>
            <w:r>
              <w:rPr>
                <w:rFonts w:ascii="Arial" w:eastAsia="Arial" w:hAnsi="Arial" w:cs="Arial"/>
                <w:sz w:val="16"/>
                <w:szCs w:val="16"/>
              </w:rPr>
              <w:t xml:space="preserve">r tablet device. This figure grew to just under 40% in </w:t>
            </w:r>
            <w:proofErr w:type="gramStart"/>
            <w:r>
              <w:rPr>
                <w:rFonts w:ascii="Arial" w:eastAsia="Arial" w:hAnsi="Arial" w:cs="Arial"/>
                <w:sz w:val="16"/>
                <w:szCs w:val="16"/>
              </w:rPr>
              <w:t>January 2018, and</w:t>
            </w:r>
            <w:proofErr w:type="gramEnd"/>
            <w:r>
              <w:rPr>
                <w:rFonts w:ascii="Arial" w:eastAsia="Arial" w:hAnsi="Arial" w:cs="Arial"/>
                <w:sz w:val="16"/>
                <w:szCs w:val="16"/>
              </w:rPr>
              <w:t xml:space="preserve"> is expected to have risen further since. Even bookings that are not made online have often been digitally influenced and a growing proportion of research is done via mobile sites or a</w:t>
            </w:r>
            <w:r>
              <w:rPr>
                <w:rFonts w:ascii="Arial" w:eastAsia="Arial" w:hAnsi="Arial" w:cs="Arial"/>
                <w:sz w:val="16"/>
                <w:szCs w:val="16"/>
              </w:rPr>
              <w:t>pps. Younger and more tech-savvy consumers are more likely to book trips through online travel agents.</w:t>
            </w:r>
          </w:p>
          <w:p w14:paraId="3B19BDC0"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Travel agency services</w:t>
            </w:r>
          </w:p>
          <w:p w14:paraId="6591521A"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The traditional travel agency is a retail business that sells travel-related products on commission.</w:t>
            </w:r>
          </w:p>
          <w:p w14:paraId="1307AA1B" w14:textId="77777777" w:rsidR="00B16DFE" w:rsidRDefault="00B16DFE">
            <w:pPr>
              <w:keepNext/>
              <w:keepLines/>
              <w:spacing w:after="0" w:line="225" w:lineRule="atLeast"/>
              <w:rPr>
                <w:rFonts w:ascii="Arial" w:eastAsia="Arial" w:hAnsi="Arial" w:cs="Arial"/>
                <w:sz w:val="16"/>
                <w:szCs w:val="16"/>
              </w:rPr>
            </w:pPr>
          </w:p>
          <w:p w14:paraId="28158E8C"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These products include domes</w:t>
            </w:r>
            <w:r>
              <w:rPr>
                <w:rFonts w:ascii="Arial" w:eastAsia="Arial" w:hAnsi="Arial" w:cs="Arial"/>
                <w:sz w:val="16"/>
                <w:szCs w:val="16"/>
              </w:rPr>
              <w:t>tic and international travel by plane, cruise ship, train, bus or hire car, as well as accommodation, tours and attractions. They also offer high-margin products, such as travel insurance, and many sell luggage allowances and travel accessories. Travel age</w:t>
            </w:r>
            <w:r>
              <w:rPr>
                <w:rFonts w:ascii="Arial" w:eastAsia="Arial" w:hAnsi="Arial" w:cs="Arial"/>
                <w:sz w:val="16"/>
                <w:szCs w:val="16"/>
              </w:rPr>
              <w:t xml:space="preserve">ncies can be independent, chain or franchised operators, and most are linked through a global distribution system to the products on offer. Global distribution systems allow information to be shared, bookings </w:t>
            </w:r>
            <w:proofErr w:type="gramStart"/>
            <w:r>
              <w:rPr>
                <w:rFonts w:ascii="Arial" w:eastAsia="Arial" w:hAnsi="Arial" w:cs="Arial"/>
                <w:sz w:val="16"/>
                <w:szCs w:val="16"/>
              </w:rPr>
              <w:t>confirmed</w:t>
            </w:r>
            <w:proofErr w:type="gramEnd"/>
            <w:r>
              <w:rPr>
                <w:rFonts w:ascii="Arial" w:eastAsia="Arial" w:hAnsi="Arial" w:cs="Arial"/>
                <w:sz w:val="16"/>
                <w:szCs w:val="16"/>
              </w:rPr>
              <w:t xml:space="preserve"> and reservations made and provided in</w:t>
            </w:r>
            <w:r>
              <w:rPr>
                <w:rFonts w:ascii="Arial" w:eastAsia="Arial" w:hAnsi="Arial" w:cs="Arial"/>
                <w:sz w:val="16"/>
                <w:szCs w:val="16"/>
              </w:rPr>
              <w:t>stantly to customers. The major global distribution system in operation in the United Kingdom is Amadeus, which is one of the systems that Expedia uses to support its online system.</w:t>
            </w:r>
          </w:p>
          <w:p w14:paraId="5E0A684D"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Bricks-and-mortar travel agencies seek to compete with their online compet</w:t>
            </w:r>
            <w:r>
              <w:rPr>
                <w:rFonts w:ascii="Arial" w:eastAsia="Arial" w:hAnsi="Arial" w:cs="Arial"/>
                <w:sz w:val="16"/>
                <w:szCs w:val="16"/>
              </w:rPr>
              <w:t>itors by emphasising the ease of mind and professionalism they can provide by dealing with customers face-to-face. All UK travel shops that provide air transport must be registered with the Civil Aviation Authority through Air Travel Organisers' Licensing.</w:t>
            </w:r>
            <w:r>
              <w:rPr>
                <w:rFonts w:ascii="Arial" w:eastAsia="Arial" w:hAnsi="Arial" w:cs="Arial"/>
                <w:sz w:val="16"/>
                <w:szCs w:val="16"/>
              </w:rPr>
              <w:t xml:space="preserve"> This provides people booking their trips with a high degree of security.</w:t>
            </w:r>
          </w:p>
          <w:p w14:paraId="50502AD6"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 xml:space="preserve">Firms in this segment typically have a labour-intensive structure and </w:t>
            </w:r>
            <w:proofErr w:type="gramStart"/>
            <w:r>
              <w:rPr>
                <w:rFonts w:ascii="Arial" w:eastAsia="Arial" w:hAnsi="Arial" w:cs="Arial"/>
                <w:sz w:val="16"/>
                <w:szCs w:val="16"/>
              </w:rPr>
              <w:t>have to</w:t>
            </w:r>
            <w:proofErr w:type="gramEnd"/>
            <w:r>
              <w:rPr>
                <w:rFonts w:ascii="Arial" w:eastAsia="Arial" w:hAnsi="Arial" w:cs="Arial"/>
                <w:sz w:val="16"/>
                <w:szCs w:val="16"/>
              </w:rPr>
              <w:t xml:space="preserve"> deal with the significant costs associated with office leasing and overheads. The average commission on </w:t>
            </w:r>
            <w:r>
              <w:rPr>
                <w:rFonts w:ascii="Arial" w:eastAsia="Arial" w:hAnsi="Arial" w:cs="Arial"/>
                <w:sz w:val="16"/>
                <w:szCs w:val="16"/>
              </w:rPr>
              <w:t>sales is 10%, but it may be lower for airlines. Some low-cost flyers offer zero commission to encourage their customers to book directly through their websites. This segment of the industry is under increasing consolidation pressure due to demographic, cus</w:t>
            </w:r>
            <w:r>
              <w:rPr>
                <w:rFonts w:ascii="Arial" w:eastAsia="Arial" w:hAnsi="Arial" w:cs="Arial"/>
                <w:sz w:val="16"/>
                <w:szCs w:val="16"/>
              </w:rPr>
              <w:t>tomer and technological changes, and particularly from competing travel websites. Travel agency services are expected to account for 31.1% of industry revenue in 2020-21. In the United Kingdom, the major bricks-and-mortar travel agent operator is TUI, foll</w:t>
            </w:r>
            <w:r>
              <w:rPr>
                <w:rFonts w:ascii="Arial" w:eastAsia="Arial" w:hAnsi="Arial" w:cs="Arial"/>
                <w:sz w:val="16"/>
                <w:szCs w:val="16"/>
              </w:rPr>
              <w:t>owing the collapse of Thomas Cook in September 2019, although TUI has made a concerted effort in recent years to increase sales through internet-enabled devices with investment in digital platforms a key strategic decision. Due to the outbreak of COVID-19,</w:t>
            </w:r>
            <w:r>
              <w:rPr>
                <w:rFonts w:ascii="Arial" w:eastAsia="Arial" w:hAnsi="Arial" w:cs="Arial"/>
                <w:sz w:val="16"/>
                <w:szCs w:val="16"/>
              </w:rPr>
              <w:t xml:space="preserve"> some travel agents have been forced to close their bricks-and-mortar stores due to social distancing measures. If agents have been unable to reopen their stores, the share of revenue attributed to this segment is likely to continue to decline over the nex</w:t>
            </w:r>
            <w:r>
              <w:rPr>
                <w:rFonts w:ascii="Arial" w:eastAsia="Arial" w:hAnsi="Arial" w:cs="Arial"/>
                <w:sz w:val="16"/>
                <w:szCs w:val="16"/>
              </w:rPr>
              <w:t>t five-year period.</w:t>
            </w:r>
          </w:p>
        </w:tc>
      </w:tr>
      <w:tr w:rsidR="00B16DFE" w14:paraId="3B888407" w14:textId="77777777">
        <w:tc>
          <w:tcPr>
            <w:tcW w:w="4000" w:type="pct"/>
            <w:gridSpan w:val="2"/>
          </w:tcPr>
          <w:p w14:paraId="3BBC229C" w14:textId="77777777" w:rsidR="00B16DFE" w:rsidRDefault="00B16DFE">
            <w:pPr>
              <w:keepNext/>
              <w:keepLines/>
              <w:spacing w:after="0" w:line="225" w:lineRule="atLeast"/>
              <w:rPr>
                <w:rFonts w:ascii="Arial" w:eastAsia="Arial" w:hAnsi="Arial" w:cs="Arial"/>
                <w:sz w:val="16"/>
                <w:szCs w:val="16"/>
              </w:rPr>
            </w:pPr>
          </w:p>
        </w:tc>
      </w:tr>
      <w:tr w:rsidR="00B16DFE" w14:paraId="01EFDECA" w14:textId="77777777">
        <w:tc>
          <w:tcPr>
            <w:tcW w:w="4000" w:type="pct"/>
            <w:gridSpan w:val="2"/>
          </w:tcPr>
          <w:p w14:paraId="7F3DD3B6" w14:textId="77777777" w:rsidR="00B16DFE" w:rsidRDefault="00B16DFE">
            <w:pPr>
              <w:keepNext/>
              <w:keepLines/>
              <w:spacing w:after="0" w:line="225" w:lineRule="atLeast"/>
              <w:rPr>
                <w:rFonts w:ascii="Arial" w:eastAsia="Arial" w:hAnsi="Arial" w:cs="Arial"/>
                <w:sz w:val="16"/>
                <w:szCs w:val="16"/>
              </w:rPr>
            </w:pPr>
          </w:p>
        </w:tc>
      </w:tr>
      <w:tr w:rsidR="00B16DFE" w14:paraId="324CA7C3" w14:textId="77777777">
        <w:trPr>
          <w:cantSplit/>
        </w:trPr>
        <w:tc>
          <w:tcPr>
            <w:tcW w:w="1000" w:type="pct"/>
          </w:tcPr>
          <w:p w14:paraId="6A428D9F" w14:textId="77777777" w:rsidR="00B16DFE" w:rsidRDefault="009F0859">
            <w:pPr>
              <w:pStyle w:val="Heading2"/>
              <w:spacing w:before="0" w:line="270" w:lineRule="atLeast"/>
              <w:rPr>
                <w:rFonts w:ascii="Arial" w:eastAsia="Arial" w:hAnsi="Arial" w:cs="Arial"/>
                <w:color w:val="333333"/>
                <w:spacing w:val="4"/>
                <w:sz w:val="21"/>
                <w:szCs w:val="21"/>
              </w:rPr>
            </w:pPr>
            <w:bookmarkStart w:id="17" w:name="_Toc18"/>
            <w:r>
              <w:rPr>
                <w:rFonts w:ascii="Arial" w:eastAsia="Arial" w:hAnsi="Arial" w:cs="Arial"/>
                <w:color w:val="333333"/>
                <w:spacing w:val="4"/>
                <w:sz w:val="21"/>
                <w:szCs w:val="21"/>
              </w:rPr>
              <w:t>Major Markets</w:t>
            </w:r>
            <w:bookmarkEnd w:id="17"/>
          </w:p>
        </w:tc>
        <w:tc>
          <w:tcPr>
            <w:tcW w:w="4000" w:type="pct"/>
          </w:tcPr>
          <w:p w14:paraId="16400D58"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040E01AA" wp14:editId="28629C5E">
                  <wp:extent cx="5238750" cy="2571750"/>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57" cstate="print"/>
                          <a:stretch>
                            <a:fillRect/>
                          </a:stretch>
                        </pic:blipFill>
                        <pic:spPr>
                          <a:xfrm>
                            <a:off x="0" y="0"/>
                            <a:ext cx="5238750" cy="2571750"/>
                          </a:xfrm>
                          <a:prstGeom prst="rect">
                            <a:avLst/>
                          </a:prstGeom>
                        </pic:spPr>
                      </pic:pic>
                    </a:graphicData>
                  </a:graphic>
                </wp:inline>
              </w:drawing>
            </w:r>
          </w:p>
        </w:tc>
      </w:tr>
      <w:tr w:rsidR="00B16DFE" w14:paraId="621201DF" w14:textId="77777777">
        <w:tc>
          <w:tcPr>
            <w:tcW w:w="4000" w:type="pct"/>
            <w:gridSpan w:val="2"/>
          </w:tcPr>
          <w:p w14:paraId="41CC9F8F" w14:textId="77777777" w:rsidR="00B16DFE" w:rsidRDefault="00B16DFE">
            <w:pPr>
              <w:keepNext/>
              <w:keepLines/>
              <w:spacing w:after="0" w:line="225" w:lineRule="atLeast"/>
              <w:rPr>
                <w:rFonts w:ascii="Arial" w:eastAsia="Arial" w:hAnsi="Arial" w:cs="Arial"/>
                <w:sz w:val="16"/>
                <w:szCs w:val="16"/>
              </w:rPr>
            </w:pPr>
          </w:p>
        </w:tc>
      </w:tr>
      <w:tr w:rsidR="00B16DFE" w14:paraId="28C33A8F" w14:textId="77777777">
        <w:tc>
          <w:tcPr>
            <w:tcW w:w="1000" w:type="pct"/>
          </w:tcPr>
          <w:p w14:paraId="67DEA871"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63F0EE7C"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UK residents travelling abroad</w:t>
            </w:r>
          </w:p>
          <w:p w14:paraId="2CF9F96B"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UK residents travelling abroad are expected to account for 65.2% of revenue in 2020-21.</w:t>
            </w:r>
          </w:p>
          <w:p w14:paraId="0CE246B4" w14:textId="77777777" w:rsidR="00B16DFE" w:rsidRDefault="00B16DFE">
            <w:pPr>
              <w:keepNext/>
              <w:keepLines/>
              <w:spacing w:after="0" w:line="225" w:lineRule="atLeast"/>
              <w:rPr>
                <w:rFonts w:ascii="Arial" w:eastAsia="Arial" w:hAnsi="Arial" w:cs="Arial"/>
                <w:sz w:val="16"/>
                <w:szCs w:val="16"/>
              </w:rPr>
            </w:pPr>
          </w:p>
          <w:p w14:paraId="5FBF3025"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 xml:space="preserve">Following the continuation of international travel restrictions in the current year, in </w:t>
            </w:r>
            <w:r>
              <w:rPr>
                <w:rFonts w:ascii="Arial" w:eastAsia="Arial" w:hAnsi="Arial" w:cs="Arial"/>
                <w:sz w:val="16"/>
                <w:szCs w:val="16"/>
              </w:rPr>
              <w:t>the form of a travel corridors list, domestic travel may attract demand from this segment as people choose to holiday at home since COVID-19 (coronavirus)-related lockdown measures have been lifted in order to avoid a 14-day quarantine period on their arri</w:t>
            </w:r>
            <w:r>
              <w:rPr>
                <w:rFonts w:ascii="Arial" w:eastAsia="Arial" w:hAnsi="Arial" w:cs="Arial"/>
                <w:sz w:val="16"/>
                <w:szCs w:val="16"/>
              </w:rPr>
              <w:t>val back in the United Kingdom. However, this segment's share of revenue will likely recover and grow further once restrictions on international travel are lifted and more countries are placed on the travel corridors list. This segment's share of revenue i</w:t>
            </w:r>
            <w:r>
              <w:rPr>
                <w:rFonts w:ascii="Arial" w:eastAsia="Arial" w:hAnsi="Arial" w:cs="Arial"/>
                <w:sz w:val="16"/>
                <w:szCs w:val="16"/>
              </w:rPr>
              <w:t>s expected to fall marginally during the current year, mainly owing to the fall in the value of the pound.</w:t>
            </w:r>
          </w:p>
          <w:p w14:paraId="44A6E397"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Prior to the coronavirus outbreak, the most favoured destinations included Spain, France, the United States, Ireland, Italy, Greece, Germany and Port</w:t>
            </w:r>
            <w:r>
              <w:rPr>
                <w:rFonts w:ascii="Arial" w:eastAsia="Arial" w:hAnsi="Arial" w:cs="Arial"/>
                <w:sz w:val="16"/>
                <w:szCs w:val="16"/>
              </w:rPr>
              <w:t>ugal, according to the International Passenger Survey. Destinations that have been affected by terrorist activity over recent years have waned in popularity. Consumers have opted for more established holiday destinations as a result.</w:t>
            </w:r>
          </w:p>
          <w:p w14:paraId="51760420"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Many inexperienced tra</w:t>
            </w:r>
            <w:r>
              <w:rPr>
                <w:rFonts w:ascii="Arial" w:eastAsia="Arial" w:hAnsi="Arial" w:cs="Arial"/>
                <w:sz w:val="16"/>
                <w:szCs w:val="16"/>
              </w:rPr>
              <w:t>vellers still seek the certainty, experience and professional advice provided by travel agents. Recognising the value and peace of mind that booking with a tour operator offers in uncertain times, holidaymakers who would not have previously considered book</w:t>
            </w:r>
            <w:r>
              <w:rPr>
                <w:rFonts w:ascii="Arial" w:eastAsia="Arial" w:hAnsi="Arial" w:cs="Arial"/>
                <w:sz w:val="16"/>
                <w:szCs w:val="16"/>
              </w:rPr>
              <w:t xml:space="preserve">ing a package holiday are now also taking a second look. According to </w:t>
            </w:r>
            <w:r>
              <w:rPr>
                <w:rFonts w:ascii="Arial" w:eastAsia="Arial" w:hAnsi="Arial" w:cs="Arial"/>
                <w:sz w:val="16"/>
                <w:szCs w:val="16"/>
              </w:rPr>
              <w:lastRenderedPageBreak/>
              <w:t>Mintel, the volume of the package holiday market is expected to grow by 7.5% from 2017 to 2022. However, an increasing number of people are booking online, using word-of-mouth recommenda</w:t>
            </w:r>
            <w:r>
              <w:rPr>
                <w:rFonts w:ascii="Arial" w:eastAsia="Arial" w:hAnsi="Arial" w:cs="Arial"/>
                <w:sz w:val="16"/>
                <w:szCs w:val="16"/>
              </w:rPr>
              <w:t>tions from friends and relatives who may have already travelled to these destinations. Older consumers are more accustomed to using travel agents therefore demand for industry services are higher amongst this demographic group. The average number of holida</w:t>
            </w:r>
            <w:r>
              <w:rPr>
                <w:rFonts w:ascii="Arial" w:eastAsia="Arial" w:hAnsi="Arial" w:cs="Arial"/>
                <w:sz w:val="16"/>
                <w:szCs w:val="16"/>
              </w:rPr>
              <w:t>ys taken per person in the United Kingdom fell from 3.8 in 2017 to 3.4 in 2018, and they are spending less due to subdued economic conditions, according to the Association of British Travel Agents (ABTA).</w:t>
            </w:r>
          </w:p>
          <w:p w14:paraId="37892B86"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UK residents travelling domestically</w:t>
            </w:r>
          </w:p>
          <w:p w14:paraId="24577CBD"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Despite the hi</w:t>
            </w:r>
            <w:r>
              <w:rPr>
                <w:rFonts w:ascii="Arial" w:eastAsia="Arial" w:hAnsi="Arial" w:cs="Arial"/>
                <w:b/>
                <w:bCs/>
                <w:color w:val="7A1315"/>
                <w:sz w:val="24"/>
                <w:szCs w:val="24"/>
              </w:rPr>
              <w:t>gh proportion of spending, the domestic market is not a prime source of business to the industry given the relative confidence and experience of Britons travelling within their own country.</w:t>
            </w:r>
          </w:p>
          <w:p w14:paraId="4B5915F5" w14:textId="77777777" w:rsidR="00B16DFE" w:rsidRDefault="00B16DFE">
            <w:pPr>
              <w:keepNext/>
              <w:keepLines/>
              <w:spacing w:after="0" w:line="225" w:lineRule="atLeast"/>
              <w:rPr>
                <w:rFonts w:ascii="Arial" w:eastAsia="Arial" w:hAnsi="Arial" w:cs="Arial"/>
                <w:sz w:val="16"/>
                <w:szCs w:val="16"/>
              </w:rPr>
            </w:pPr>
          </w:p>
          <w:p w14:paraId="33AC33CB"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The two predominant domestic segments are business travellers and</w:t>
            </w:r>
            <w:r>
              <w:rPr>
                <w:rFonts w:ascii="Arial" w:eastAsia="Arial" w:hAnsi="Arial" w:cs="Arial"/>
                <w:sz w:val="16"/>
                <w:szCs w:val="16"/>
              </w:rPr>
              <w:t xml:space="preserve"> tourists looking for package holidays. Business travellers tend to require the services of travel agents due to time constraints, while those booking package tours often require assistance from travel agents, particularly when seeking advice regarding spe</w:t>
            </w:r>
            <w:r>
              <w:rPr>
                <w:rFonts w:ascii="Arial" w:eastAsia="Arial" w:hAnsi="Arial" w:cs="Arial"/>
                <w:sz w:val="16"/>
                <w:szCs w:val="16"/>
              </w:rPr>
              <w:t>cial deals.</w:t>
            </w:r>
          </w:p>
          <w:p w14:paraId="704BB9C7"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UK residents travelling domestically are expected to account for 26.5% of industry revenue in 2020-21, a slightly smaller share than five years ago, due to more people spending on holidays abroad as real household disposable incomes have risen </w:t>
            </w:r>
            <w:r>
              <w:rPr>
                <w:rFonts w:ascii="Arial" w:eastAsia="Arial" w:hAnsi="Arial" w:cs="Arial"/>
                <w:sz w:val="16"/>
                <w:szCs w:val="16"/>
              </w:rPr>
              <w:t>slightly. Following two strong years of growth over 2016 and 2017 as the fall in the value of the pound has caused some travellers to seek the cheaper option of domestic tourism, the number of domestic holidays fell from 2.1 to 1.8 per person over 2018, ac</w:t>
            </w:r>
            <w:r>
              <w:rPr>
                <w:rFonts w:ascii="Arial" w:eastAsia="Arial" w:hAnsi="Arial" w:cs="Arial"/>
                <w:sz w:val="16"/>
                <w:szCs w:val="16"/>
              </w:rPr>
              <w:t>cording to the ABTA. More millennials are choosing to travel domestically rather than internationally, in order to explore what the United Kingdom has to offer, as they went on overseas rather than domestic holidays as children following the growth of low-</w:t>
            </w:r>
            <w:r>
              <w:rPr>
                <w:rFonts w:ascii="Arial" w:eastAsia="Arial" w:hAnsi="Arial" w:cs="Arial"/>
                <w:sz w:val="16"/>
                <w:szCs w:val="16"/>
              </w:rPr>
              <w:t>cost airlines in the 1990s. This segment's share of revenue is expected to increase in the current year as international travel restrictions remain in place, with local restrictions having been lifted prior to international ones.</w:t>
            </w:r>
          </w:p>
          <w:p w14:paraId="2422E8A0" w14:textId="77777777" w:rsidR="00B16DFE" w:rsidRDefault="009F0859">
            <w:pPr>
              <w:keepNext/>
              <w:keepLines/>
              <w:spacing w:after="180" w:line="240" w:lineRule="atLeast"/>
              <w:rPr>
                <w:rFonts w:ascii="Arial" w:eastAsia="Arial" w:hAnsi="Arial" w:cs="Arial"/>
                <w:caps/>
                <w:sz w:val="16"/>
                <w:szCs w:val="16"/>
              </w:rPr>
            </w:pPr>
            <w:r>
              <w:rPr>
                <w:rFonts w:ascii="Arial" w:eastAsia="Arial" w:hAnsi="Arial" w:cs="Arial"/>
                <w:b/>
                <w:bCs/>
                <w:caps/>
                <w:sz w:val="18"/>
                <w:szCs w:val="18"/>
              </w:rPr>
              <w:t>International visitors</w:t>
            </w:r>
          </w:p>
          <w:p w14:paraId="6A431A2A"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Int</w:t>
            </w:r>
            <w:r>
              <w:rPr>
                <w:rFonts w:ascii="Arial" w:eastAsia="Arial" w:hAnsi="Arial" w:cs="Arial"/>
                <w:b/>
                <w:bCs/>
                <w:color w:val="7A1315"/>
                <w:sz w:val="24"/>
                <w:szCs w:val="24"/>
              </w:rPr>
              <w:t>ernational visitors are expected to account for 8.3% of industry revenue in the current year.</w:t>
            </w:r>
          </w:p>
          <w:p w14:paraId="2B4FA782" w14:textId="77777777" w:rsidR="00B16DFE" w:rsidRDefault="00B16DFE">
            <w:pPr>
              <w:keepNext/>
              <w:keepLines/>
              <w:spacing w:after="0" w:line="225" w:lineRule="atLeast"/>
              <w:rPr>
                <w:rFonts w:ascii="Arial" w:eastAsia="Arial" w:hAnsi="Arial" w:cs="Arial"/>
                <w:sz w:val="16"/>
                <w:szCs w:val="16"/>
              </w:rPr>
            </w:pPr>
          </w:p>
          <w:p w14:paraId="29D9EF6F" w14:textId="77777777" w:rsidR="00B16DFE" w:rsidRDefault="009F0859">
            <w:pPr>
              <w:keepNext/>
              <w:keepLines/>
              <w:spacing w:after="240" w:line="225" w:lineRule="atLeast"/>
              <w:rPr>
                <w:rFonts w:ascii="Arial" w:eastAsia="Arial" w:hAnsi="Arial" w:cs="Arial"/>
                <w:sz w:val="16"/>
                <w:szCs w:val="16"/>
              </w:rPr>
            </w:pPr>
            <w:r>
              <w:rPr>
                <w:rFonts w:ascii="Arial" w:eastAsia="Arial" w:hAnsi="Arial" w:cs="Arial"/>
                <w:sz w:val="16"/>
                <w:szCs w:val="16"/>
              </w:rPr>
              <w:t xml:space="preserve">International tourists use travel agents to plan trips within the United Kingdom, including booking accommodation, booking visits to tourist </w:t>
            </w:r>
            <w:r>
              <w:rPr>
                <w:rFonts w:ascii="Arial" w:eastAsia="Arial" w:hAnsi="Arial" w:cs="Arial"/>
                <w:sz w:val="16"/>
                <w:szCs w:val="16"/>
              </w:rPr>
              <w:t>attractions and hiring vehicles. Revenue generated from this segment is expected to have increased over the period, as the depreciation of the pound following the EU referendum has made holidays in the UK less expensive to those from overseas. Furthermore,</w:t>
            </w:r>
            <w:r>
              <w:rPr>
                <w:rFonts w:ascii="Arial" w:eastAsia="Arial" w:hAnsi="Arial" w:cs="Arial"/>
                <w:sz w:val="16"/>
                <w:szCs w:val="16"/>
              </w:rPr>
              <w:t xml:space="preserve"> the falling pound has boosted an influx of shoppers from overseas. For example, overseas tourists' expenditure was £22.5 billion in 2016, an increase of 2% compared with 2015, according to the Office for National Statistics. However, the industry is expec</w:t>
            </w:r>
            <w:r>
              <w:rPr>
                <w:rFonts w:ascii="Arial" w:eastAsia="Arial" w:hAnsi="Arial" w:cs="Arial"/>
                <w:sz w:val="16"/>
                <w:szCs w:val="16"/>
              </w:rPr>
              <w:t>ted to see a slight dip in international visitors in the current year following the outbreak of the coronavirus as consumers postpone or cancel holidays, and airlines impose travel restrictions from those abroad.</w:t>
            </w:r>
          </w:p>
        </w:tc>
      </w:tr>
      <w:tr w:rsidR="00B16DFE" w14:paraId="7551F6EA" w14:textId="77777777">
        <w:tc>
          <w:tcPr>
            <w:tcW w:w="4000" w:type="pct"/>
            <w:gridSpan w:val="2"/>
          </w:tcPr>
          <w:p w14:paraId="64AA537E" w14:textId="77777777" w:rsidR="00B16DFE" w:rsidRDefault="00B16DFE">
            <w:pPr>
              <w:keepNext/>
              <w:keepLines/>
              <w:spacing w:after="0" w:line="225" w:lineRule="atLeast"/>
              <w:rPr>
                <w:rFonts w:ascii="Arial" w:eastAsia="Arial" w:hAnsi="Arial" w:cs="Arial"/>
                <w:sz w:val="16"/>
                <w:szCs w:val="16"/>
              </w:rPr>
            </w:pPr>
          </w:p>
        </w:tc>
      </w:tr>
      <w:tr w:rsidR="00B16DFE" w14:paraId="27D93034" w14:textId="77777777">
        <w:trPr>
          <w:cantSplit/>
        </w:trPr>
        <w:tc>
          <w:tcPr>
            <w:tcW w:w="1000" w:type="pct"/>
          </w:tcPr>
          <w:p w14:paraId="647A6FA8" w14:textId="77777777" w:rsidR="00B16DFE" w:rsidRDefault="00B16DFE">
            <w:pPr>
              <w:keepNext/>
              <w:keepLines/>
            </w:pPr>
          </w:p>
        </w:tc>
        <w:tc>
          <w:tcPr>
            <w:tcW w:w="4000" w:type="pct"/>
          </w:tcPr>
          <w:p w14:paraId="481A7B96" w14:textId="77777777" w:rsidR="00B16DFE" w:rsidRDefault="009F0859">
            <w:pPr>
              <w:keepNext/>
              <w:keepLines/>
              <w:spacing w:after="180" w:line="240" w:lineRule="atLeast"/>
              <w:rPr>
                <w:rFonts w:ascii="Arial" w:eastAsia="Arial" w:hAnsi="Arial" w:cs="Arial"/>
                <w:sz w:val="16"/>
                <w:szCs w:val="16"/>
              </w:rPr>
            </w:pPr>
            <w:r>
              <w:rPr>
                <w:rFonts w:ascii="Arial" w:eastAsia="Arial" w:hAnsi="Arial" w:cs="Arial"/>
                <w:b/>
                <w:bCs/>
                <w:sz w:val="18"/>
                <w:szCs w:val="18"/>
              </w:rPr>
              <w:t>Exports in this industry are </w:t>
            </w:r>
            <w:r>
              <w:rPr>
                <w:rFonts w:ascii="Arial" w:eastAsia="Arial" w:hAnsi="Arial" w:cs="Arial"/>
                <w:sz w:val="16"/>
                <w:szCs w:val="16"/>
              </w:rPr>
              <w:t xml:space="preserve"> </w:t>
            </w:r>
            <w:r>
              <w:rPr>
                <w:noProof/>
              </w:rPr>
              <w:drawing>
                <wp:inline distT="0" distB="0" distL="0" distR="0" wp14:anchorId="6A15922B" wp14:editId="58957B86">
                  <wp:extent cx="91440" cy="91440"/>
                  <wp:effectExtent l="0" t="0" r="0" b="0"/>
                  <wp:docPr id="75" name="Picture 75" descr="Good"/>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58"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086D06"/>
                <w:sz w:val="18"/>
                <w:szCs w:val="18"/>
              </w:rPr>
              <w:t xml:space="preserve">Low </w:t>
            </w:r>
            <w:r>
              <w:rPr>
                <w:rFonts w:ascii="Arial" w:eastAsia="Arial" w:hAnsi="Arial" w:cs="Arial"/>
                <w:b/>
                <w:bCs/>
                <w:sz w:val="18"/>
                <w:szCs w:val="18"/>
              </w:rPr>
              <w:t>and Steady</w:t>
            </w:r>
          </w:p>
          <w:p w14:paraId="3B04177D" w14:textId="77777777" w:rsidR="00B16DFE" w:rsidRDefault="009F0859">
            <w:pPr>
              <w:keepNext/>
              <w:keepLines/>
              <w:spacing w:after="180" w:line="240" w:lineRule="atLeast"/>
              <w:rPr>
                <w:rFonts w:ascii="Arial" w:eastAsia="Arial" w:hAnsi="Arial" w:cs="Arial"/>
                <w:sz w:val="16"/>
                <w:szCs w:val="16"/>
              </w:rPr>
            </w:pPr>
            <w:r>
              <w:rPr>
                <w:rFonts w:ascii="Arial" w:eastAsia="Arial" w:hAnsi="Arial" w:cs="Arial"/>
                <w:b/>
                <w:bCs/>
                <w:sz w:val="18"/>
                <w:szCs w:val="18"/>
              </w:rPr>
              <w:t>Imports in this industry are </w:t>
            </w:r>
            <w:r>
              <w:rPr>
                <w:rFonts w:ascii="Arial" w:eastAsia="Arial" w:hAnsi="Arial" w:cs="Arial"/>
                <w:sz w:val="16"/>
                <w:szCs w:val="16"/>
              </w:rPr>
              <w:t xml:space="preserve"> </w:t>
            </w:r>
            <w:r>
              <w:rPr>
                <w:noProof/>
              </w:rPr>
              <w:drawing>
                <wp:inline distT="0" distB="0" distL="0" distR="0" wp14:anchorId="79B09FD7" wp14:editId="07F0E4FC">
                  <wp:extent cx="91440" cy="91440"/>
                  <wp:effectExtent l="0" t="0" r="0" b="0"/>
                  <wp:docPr id="77" name="Picture 77" descr="Good"/>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58"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086D06"/>
                <w:sz w:val="18"/>
                <w:szCs w:val="18"/>
              </w:rPr>
              <w:t xml:space="preserve">Low </w:t>
            </w:r>
            <w:r>
              <w:rPr>
                <w:rFonts w:ascii="Arial" w:eastAsia="Arial" w:hAnsi="Arial" w:cs="Arial"/>
                <w:b/>
                <w:bCs/>
                <w:sz w:val="18"/>
                <w:szCs w:val="18"/>
              </w:rPr>
              <w:t>and Steady</w:t>
            </w:r>
          </w:p>
          <w:p w14:paraId="2705E2C4"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Imports and exports are not included in the Travel Agencies industry. However, the industry is highly globalised, due to the nature of its dealings with interna</w:t>
            </w:r>
            <w:r>
              <w:rPr>
                <w:rFonts w:ascii="Arial" w:eastAsia="Arial" w:hAnsi="Arial" w:cs="Arial"/>
                <w:sz w:val="16"/>
                <w:szCs w:val="16"/>
              </w:rPr>
              <w:t>tional transport and tourism services.</w:t>
            </w:r>
          </w:p>
        </w:tc>
      </w:tr>
    </w:tbl>
    <w:p w14:paraId="521AFACE" w14:textId="77777777" w:rsidR="00B16DFE" w:rsidRDefault="00B16DFE">
      <w:pPr>
        <w:spacing w:after="0"/>
        <w:rPr>
          <w:vanish/>
        </w:rPr>
      </w:pPr>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5EBFC487" w14:textId="77777777">
        <w:tc>
          <w:tcPr>
            <w:tcW w:w="4000" w:type="pct"/>
            <w:gridSpan w:val="2"/>
          </w:tcPr>
          <w:p w14:paraId="70148859" w14:textId="77777777" w:rsidR="00B16DFE" w:rsidRDefault="00B16DFE">
            <w:pPr>
              <w:keepNext/>
              <w:keepLines/>
              <w:spacing w:after="0" w:line="225" w:lineRule="atLeast"/>
              <w:rPr>
                <w:rFonts w:ascii="Arial" w:eastAsia="Arial" w:hAnsi="Arial" w:cs="Arial"/>
                <w:sz w:val="16"/>
                <w:szCs w:val="16"/>
              </w:rPr>
            </w:pPr>
          </w:p>
        </w:tc>
      </w:tr>
      <w:tr w:rsidR="00B16DFE" w14:paraId="69D17689" w14:textId="77777777">
        <w:tc>
          <w:tcPr>
            <w:tcW w:w="1000" w:type="pct"/>
          </w:tcPr>
          <w:p w14:paraId="7DE3552B" w14:textId="77777777" w:rsidR="00B16DFE" w:rsidRDefault="009F0859">
            <w:pPr>
              <w:pStyle w:val="Heading2"/>
              <w:spacing w:before="0" w:line="270" w:lineRule="atLeast"/>
              <w:rPr>
                <w:rFonts w:ascii="Arial" w:eastAsia="Arial" w:hAnsi="Arial" w:cs="Arial"/>
                <w:color w:val="333333"/>
                <w:spacing w:val="4"/>
                <w:sz w:val="21"/>
                <w:szCs w:val="21"/>
              </w:rPr>
            </w:pPr>
            <w:bookmarkStart w:id="18" w:name="_Toc19"/>
            <w:r>
              <w:rPr>
                <w:rFonts w:ascii="Arial" w:eastAsia="Arial" w:hAnsi="Arial" w:cs="Arial"/>
                <w:color w:val="333333"/>
                <w:spacing w:val="4"/>
                <w:sz w:val="21"/>
                <w:szCs w:val="21"/>
              </w:rPr>
              <w:t>Business Locations</w:t>
            </w:r>
            <w:bookmarkEnd w:id="18"/>
          </w:p>
        </w:tc>
        <w:tc>
          <w:tcPr>
            <w:tcW w:w="4000" w:type="pct"/>
          </w:tcPr>
          <w:p w14:paraId="15474291"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3F8D3DFC" wp14:editId="288FCD5B">
                  <wp:extent cx="5238750" cy="5036684"/>
                  <wp:effectExtent l="0" t="0" r="0" b="0"/>
                  <wp:docPr id="79" name="Picture 79"/>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59" cstate="print"/>
                          <a:stretch>
                            <a:fillRect/>
                          </a:stretch>
                        </pic:blipFill>
                        <pic:spPr>
                          <a:xfrm>
                            <a:off x="0" y="0"/>
                            <a:ext cx="5238750" cy="5036684"/>
                          </a:xfrm>
                          <a:prstGeom prst="rect">
                            <a:avLst/>
                          </a:prstGeom>
                        </pic:spPr>
                      </pic:pic>
                    </a:graphicData>
                  </a:graphic>
                </wp:inline>
              </w:drawing>
            </w:r>
          </w:p>
        </w:tc>
      </w:tr>
      <w:tr w:rsidR="00B16DFE" w14:paraId="6B0ED8B7" w14:textId="77777777">
        <w:tc>
          <w:tcPr>
            <w:tcW w:w="1000" w:type="pct"/>
          </w:tcPr>
          <w:p w14:paraId="23BD5903"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320C8981"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The spread of the industry follows the distribution of the population, since it serves a wide range of people. The regions where the industry is most concentrated are London, the South </w:t>
            </w:r>
            <w:r>
              <w:rPr>
                <w:rFonts w:ascii="Arial" w:eastAsia="Arial" w:hAnsi="Arial" w:cs="Arial"/>
                <w:sz w:val="16"/>
                <w:szCs w:val="16"/>
              </w:rPr>
              <w:t>East and the North West, which are the most densely populated.</w:t>
            </w:r>
          </w:p>
          <w:p w14:paraId="2603E34B" w14:textId="77777777" w:rsidR="00B16DFE" w:rsidRDefault="009F0859">
            <w:pPr>
              <w:keepNext/>
              <w:keepLines/>
              <w:spacing w:after="180" w:line="240" w:lineRule="atLeast"/>
              <w:rPr>
                <w:rFonts w:ascii="Arial" w:eastAsia="Arial" w:hAnsi="Arial" w:cs="Arial"/>
                <w:sz w:val="16"/>
                <w:szCs w:val="16"/>
              </w:rPr>
            </w:pPr>
            <w:r>
              <w:rPr>
                <w:rFonts w:ascii="Arial" w:eastAsia="Arial" w:hAnsi="Arial" w:cs="Arial"/>
                <w:b/>
                <w:bCs/>
                <w:sz w:val="18"/>
                <w:szCs w:val="18"/>
              </w:rPr>
              <w:t>London</w:t>
            </w:r>
          </w:p>
          <w:p w14:paraId="7E338E62"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London is home to 24.1% of industry establishments. This region has about 8.9 million residents and has the highest gross disposable income per capita. It is a globally recognised touris</w:t>
            </w:r>
            <w:r>
              <w:rPr>
                <w:rFonts w:ascii="Arial" w:eastAsia="Arial" w:hAnsi="Arial" w:cs="Arial"/>
                <w:sz w:val="16"/>
                <w:szCs w:val="16"/>
              </w:rPr>
              <w:t>t destination and one of the most influential financial and business centres. Furthermore, more than half of inbound tourist spending is spent in London. London, given its share of higher income households, also dominates in terms of average expenditure on</w:t>
            </w:r>
            <w:r>
              <w:rPr>
                <w:rFonts w:ascii="Arial" w:eastAsia="Arial" w:hAnsi="Arial" w:cs="Arial"/>
                <w:sz w:val="16"/>
                <w:szCs w:val="16"/>
              </w:rPr>
              <w:t xml:space="preserve"> travel.</w:t>
            </w:r>
          </w:p>
          <w:p w14:paraId="1AEA3326" w14:textId="77777777" w:rsidR="00B16DFE" w:rsidRDefault="009F0859">
            <w:pPr>
              <w:keepNext/>
              <w:keepLines/>
              <w:spacing w:after="180" w:line="240" w:lineRule="atLeast"/>
              <w:rPr>
                <w:rFonts w:ascii="Arial" w:eastAsia="Arial" w:hAnsi="Arial" w:cs="Arial"/>
                <w:sz w:val="16"/>
                <w:szCs w:val="16"/>
              </w:rPr>
            </w:pPr>
            <w:r>
              <w:rPr>
                <w:rFonts w:ascii="Arial" w:eastAsia="Arial" w:hAnsi="Arial" w:cs="Arial"/>
                <w:b/>
                <w:bCs/>
                <w:sz w:val="18"/>
                <w:szCs w:val="18"/>
              </w:rPr>
              <w:t>The South East</w:t>
            </w:r>
          </w:p>
          <w:p w14:paraId="25B901DD"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The South East, which has the advantage of being close to London, has a population share of 13.8% and accounts for the same share of industry locations. It has the UK's second highest share of gross disposable income, a good determi</w:t>
            </w:r>
            <w:r>
              <w:rPr>
                <w:rFonts w:ascii="Arial" w:eastAsia="Arial" w:hAnsi="Arial" w:cs="Arial"/>
                <w:sz w:val="16"/>
                <w:szCs w:val="16"/>
              </w:rPr>
              <w:t>nant of industry demand, particularly for travelling abroad.</w:t>
            </w:r>
          </w:p>
          <w:p w14:paraId="45893295" w14:textId="77777777" w:rsidR="00B16DFE" w:rsidRDefault="009F0859">
            <w:pPr>
              <w:keepNext/>
              <w:keepLines/>
              <w:spacing w:after="180" w:line="240" w:lineRule="atLeast"/>
              <w:rPr>
                <w:rFonts w:ascii="Arial" w:eastAsia="Arial" w:hAnsi="Arial" w:cs="Arial"/>
                <w:sz w:val="16"/>
                <w:szCs w:val="16"/>
              </w:rPr>
            </w:pPr>
            <w:r>
              <w:rPr>
                <w:rFonts w:ascii="Arial" w:eastAsia="Arial" w:hAnsi="Arial" w:cs="Arial"/>
                <w:b/>
                <w:bCs/>
                <w:sz w:val="18"/>
                <w:szCs w:val="18"/>
              </w:rPr>
              <w:t>The North West</w:t>
            </w:r>
          </w:p>
          <w:p w14:paraId="3B6659EB"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The North West accounts for an expected 10.7% of industry establishments, which is </w:t>
            </w:r>
            <w:proofErr w:type="gramStart"/>
            <w:r>
              <w:rPr>
                <w:rFonts w:ascii="Arial" w:eastAsia="Arial" w:hAnsi="Arial" w:cs="Arial"/>
                <w:sz w:val="16"/>
                <w:szCs w:val="16"/>
              </w:rPr>
              <w:t>similar to</w:t>
            </w:r>
            <w:proofErr w:type="gramEnd"/>
            <w:r>
              <w:rPr>
                <w:rFonts w:ascii="Arial" w:eastAsia="Arial" w:hAnsi="Arial" w:cs="Arial"/>
                <w:sz w:val="16"/>
                <w:szCs w:val="16"/>
              </w:rPr>
              <w:t xml:space="preserve"> its 11% share of the population. While it has lower average gross disposable incomes t</w:t>
            </w:r>
            <w:r>
              <w:rPr>
                <w:rFonts w:ascii="Arial" w:eastAsia="Arial" w:hAnsi="Arial" w:cs="Arial"/>
                <w:sz w:val="16"/>
                <w:szCs w:val="16"/>
              </w:rPr>
              <w:t>han London and the South East, it is still the region with the third highest level of gross value added.</w:t>
            </w:r>
          </w:p>
          <w:p w14:paraId="60945367" w14:textId="77777777" w:rsidR="00B16DFE" w:rsidRDefault="009F0859">
            <w:pPr>
              <w:keepNext/>
              <w:keepLines/>
              <w:spacing w:after="180" w:line="240" w:lineRule="atLeast"/>
              <w:rPr>
                <w:rFonts w:ascii="Arial" w:eastAsia="Arial" w:hAnsi="Arial" w:cs="Arial"/>
                <w:sz w:val="16"/>
                <w:szCs w:val="16"/>
              </w:rPr>
            </w:pPr>
            <w:r>
              <w:rPr>
                <w:rFonts w:ascii="Arial" w:eastAsia="Arial" w:hAnsi="Arial" w:cs="Arial"/>
                <w:b/>
                <w:bCs/>
                <w:sz w:val="18"/>
                <w:szCs w:val="18"/>
              </w:rPr>
              <w:t>Other</w:t>
            </w:r>
          </w:p>
          <w:p w14:paraId="355077C0"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 xml:space="preserve">The other regions of the United Kingdom are not considered significant financial and business centres, as they have smaller population </w:t>
            </w:r>
            <w:r>
              <w:rPr>
                <w:rFonts w:ascii="Arial" w:eastAsia="Arial" w:hAnsi="Arial" w:cs="Arial"/>
                <w:sz w:val="16"/>
                <w:szCs w:val="16"/>
              </w:rPr>
              <w:t>shares and lower average disposable incomes. These regions tend to have a larger share of small or independent travel agents.</w:t>
            </w:r>
          </w:p>
        </w:tc>
      </w:tr>
      <w:tr w:rsidR="00B16DFE" w14:paraId="74418359" w14:textId="77777777">
        <w:tc>
          <w:tcPr>
            <w:tcW w:w="1000" w:type="pct"/>
          </w:tcPr>
          <w:p w14:paraId="339CC7C3"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lastRenderedPageBreak/>
              <w:t> </w:t>
            </w:r>
          </w:p>
        </w:tc>
        <w:tc>
          <w:tcPr>
            <w:tcW w:w="4000" w:type="pct"/>
          </w:tcPr>
          <w:p w14:paraId="20A8513E"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2FC5E99C" wp14:editId="569FDF6F">
                  <wp:extent cx="5238750" cy="2645833"/>
                  <wp:effectExtent l="0" t="0" r="0" b="0"/>
                  <wp:docPr id="81" name="Picture 81"/>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60" cstate="print"/>
                          <a:stretch>
                            <a:fillRect/>
                          </a:stretch>
                        </pic:blipFill>
                        <pic:spPr>
                          <a:xfrm>
                            <a:off x="0" y="0"/>
                            <a:ext cx="5238750" cy="2645833"/>
                          </a:xfrm>
                          <a:prstGeom prst="rect">
                            <a:avLst/>
                          </a:prstGeom>
                        </pic:spPr>
                      </pic:pic>
                    </a:graphicData>
                  </a:graphic>
                </wp:inline>
              </w:drawing>
            </w:r>
          </w:p>
        </w:tc>
      </w:tr>
    </w:tbl>
    <w:p w14:paraId="1058E6A5" w14:textId="77777777" w:rsidR="00B16DFE" w:rsidRDefault="00B16DFE">
      <w:pPr>
        <w:sectPr w:rsidR="00B16DFE">
          <w:headerReference w:type="default" r:id="rId61"/>
          <w:footerReference w:type="default" r:id="rId62"/>
          <w:pgSz w:w="11907" w:h="16839" w:code="9"/>
          <w:pgMar w:top="640" w:right="640" w:bottom="640" w:left="640" w:header="0" w:footer="0" w:gutter="0"/>
          <w:cols w:space="708"/>
          <w:docGrid w:linePitch="360"/>
        </w:sectPr>
      </w:pPr>
    </w:p>
    <w:p w14:paraId="3D94FE6A" w14:textId="77777777" w:rsidR="00B16DFE" w:rsidRDefault="009F0859">
      <w:pPr>
        <w:pStyle w:val="Heading1"/>
        <w:spacing w:before="0" w:after="240" w:line="420" w:lineRule="atLeast"/>
        <w:rPr>
          <w:rFonts w:ascii="Arial" w:eastAsia="Arial" w:hAnsi="Arial" w:cs="Arial"/>
          <w:b w:val="0"/>
          <w:bCs w:val="0"/>
          <w:color w:val="333333"/>
          <w:sz w:val="36"/>
          <w:szCs w:val="36"/>
        </w:rPr>
      </w:pPr>
      <w:bookmarkStart w:id="19" w:name="_Toc20"/>
      <w:r>
        <w:rPr>
          <w:rFonts w:ascii="Arial" w:eastAsia="Arial" w:hAnsi="Arial" w:cs="Arial"/>
          <w:b w:val="0"/>
          <w:bCs w:val="0"/>
          <w:color w:val="333333"/>
          <w:sz w:val="36"/>
          <w:szCs w:val="36"/>
        </w:rPr>
        <w:lastRenderedPageBreak/>
        <w:t>Competitive Landscape</w:t>
      </w:r>
      <w:bookmarkEnd w:id="19"/>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0C1F44D1" w14:textId="77777777">
        <w:tc>
          <w:tcPr>
            <w:tcW w:w="1000" w:type="pct"/>
          </w:tcPr>
          <w:p w14:paraId="17F1045F" w14:textId="77777777" w:rsidR="00B16DFE" w:rsidRDefault="009F0859">
            <w:pPr>
              <w:pStyle w:val="Heading2"/>
              <w:spacing w:before="0" w:line="270" w:lineRule="atLeast"/>
              <w:rPr>
                <w:rFonts w:ascii="Arial" w:eastAsia="Arial" w:hAnsi="Arial" w:cs="Arial"/>
                <w:color w:val="333333"/>
                <w:spacing w:val="4"/>
                <w:sz w:val="21"/>
                <w:szCs w:val="21"/>
              </w:rPr>
            </w:pPr>
            <w:bookmarkStart w:id="20" w:name="_Toc21"/>
            <w:r>
              <w:rPr>
                <w:rFonts w:ascii="Arial" w:eastAsia="Arial" w:hAnsi="Arial" w:cs="Arial"/>
                <w:color w:val="333333"/>
                <w:spacing w:val="4"/>
                <w:sz w:val="21"/>
                <w:szCs w:val="21"/>
              </w:rPr>
              <w:t>Market Share Concentration</w:t>
            </w:r>
            <w:bookmarkEnd w:id="20"/>
          </w:p>
        </w:tc>
        <w:tc>
          <w:tcPr>
            <w:tcW w:w="4000" w:type="pct"/>
          </w:tcPr>
          <w:p w14:paraId="14417E84"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Concentration in this industry is </w:t>
            </w:r>
            <w:r>
              <w:rPr>
                <w:rFonts w:ascii="Arial" w:eastAsia="Arial" w:hAnsi="Arial" w:cs="Arial"/>
                <w:sz w:val="16"/>
                <w:szCs w:val="16"/>
              </w:rPr>
              <w:t xml:space="preserve"> </w:t>
            </w:r>
            <w:r>
              <w:rPr>
                <w:noProof/>
              </w:rPr>
              <w:drawing>
                <wp:inline distT="0" distB="0" distL="0" distR="0" wp14:anchorId="4E4B9664" wp14:editId="44D557D7">
                  <wp:extent cx="91440" cy="91440"/>
                  <wp:effectExtent l="0" t="0" r="0" b="0"/>
                  <wp:docPr id="83" name="Picture 83" descr="Good"/>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58"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086D06"/>
                <w:sz w:val="18"/>
                <w:szCs w:val="18"/>
              </w:rPr>
              <w:t>Low</w:t>
            </w:r>
          </w:p>
          <w:p w14:paraId="2F9F44CD"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 xml:space="preserve">The Travel Agencies industry is highly fragmented. </w:t>
            </w:r>
            <w:proofErr w:type="gramStart"/>
            <w:r>
              <w:rPr>
                <w:rFonts w:ascii="Arial" w:eastAsia="Arial" w:hAnsi="Arial" w:cs="Arial"/>
                <w:sz w:val="16"/>
                <w:szCs w:val="16"/>
              </w:rPr>
              <w:t>The vast majority of</w:t>
            </w:r>
            <w:proofErr w:type="gramEnd"/>
            <w:r>
              <w:rPr>
                <w:rFonts w:ascii="Arial" w:eastAsia="Arial" w:hAnsi="Arial" w:cs="Arial"/>
                <w:sz w:val="16"/>
                <w:szCs w:val="16"/>
              </w:rPr>
              <w:t xml:space="preserve"> establishments have few employees, with an expected 95.1% of establishments employing fewer than 20 people. This highlights the large number of independent and owner-operated agencies </w:t>
            </w:r>
            <w:r>
              <w:rPr>
                <w:rFonts w:ascii="Arial" w:eastAsia="Arial" w:hAnsi="Arial" w:cs="Arial"/>
                <w:sz w:val="16"/>
                <w:szCs w:val="16"/>
              </w:rPr>
              <w:t xml:space="preserve">in the industry. Despite this, there are </w:t>
            </w:r>
            <w:proofErr w:type="gramStart"/>
            <w:r>
              <w:rPr>
                <w:rFonts w:ascii="Arial" w:eastAsia="Arial" w:hAnsi="Arial" w:cs="Arial"/>
                <w:sz w:val="16"/>
                <w:szCs w:val="16"/>
              </w:rPr>
              <w:t>a number of</w:t>
            </w:r>
            <w:proofErr w:type="gramEnd"/>
            <w:r>
              <w:rPr>
                <w:rFonts w:ascii="Arial" w:eastAsia="Arial" w:hAnsi="Arial" w:cs="Arial"/>
                <w:sz w:val="16"/>
                <w:szCs w:val="16"/>
              </w:rPr>
              <w:t xml:space="preserve"> large international operators, including TUI, that operate bricks-and-mortar outlets, although this is less prevalent following the collapse of Thomas Cook in September 2019. Following the collapse, Hays</w:t>
            </w:r>
            <w:r>
              <w:rPr>
                <w:rFonts w:ascii="Arial" w:eastAsia="Arial" w:hAnsi="Arial" w:cs="Arial"/>
                <w:sz w:val="16"/>
                <w:szCs w:val="16"/>
              </w:rPr>
              <w:t xml:space="preserve"> has agreed to buy 553 of Thomas Cook's 563 UK stores. These operators are improving their position in the industry through acquisitions, and by tapping into the growing online travel bookings segment. In 2020-21, the industry's level of market share conce</w:t>
            </w:r>
            <w:r>
              <w:rPr>
                <w:rFonts w:ascii="Arial" w:eastAsia="Arial" w:hAnsi="Arial" w:cs="Arial"/>
                <w:sz w:val="16"/>
                <w:szCs w:val="16"/>
              </w:rPr>
              <w:t>ntration is projected to remain low, with the top four companies accounting for an estimated 13.3% of industry revenue. A few large travel booking websites operate under a variety of brands to gain access to various market segments and types of bookings, s</w:t>
            </w:r>
            <w:r>
              <w:rPr>
                <w:rFonts w:ascii="Arial" w:eastAsia="Arial" w:hAnsi="Arial" w:cs="Arial"/>
                <w:sz w:val="16"/>
                <w:szCs w:val="16"/>
              </w:rPr>
              <w:t xml:space="preserve">uch as airline tickets, accommodation or adventure and student travel. Larger operators mainly run under a niche; for example, TUI offers a large variety of family friendly package holidays, whereas </w:t>
            </w:r>
            <w:proofErr w:type="spellStart"/>
            <w:r>
              <w:rPr>
                <w:rFonts w:ascii="Arial" w:eastAsia="Arial" w:hAnsi="Arial" w:cs="Arial"/>
                <w:sz w:val="16"/>
                <w:szCs w:val="16"/>
              </w:rPr>
              <w:t>Trailfinders</w:t>
            </w:r>
            <w:proofErr w:type="spellEnd"/>
            <w:r>
              <w:rPr>
                <w:rFonts w:ascii="Arial" w:eastAsia="Arial" w:hAnsi="Arial" w:cs="Arial"/>
                <w:sz w:val="16"/>
                <w:szCs w:val="16"/>
              </w:rPr>
              <w:t xml:space="preserve"> focuses on tailor-made itineraries. There ar</w:t>
            </w:r>
            <w:r>
              <w:rPr>
                <w:rFonts w:ascii="Arial" w:eastAsia="Arial" w:hAnsi="Arial" w:cs="Arial"/>
                <w:sz w:val="16"/>
                <w:szCs w:val="16"/>
              </w:rPr>
              <w:t>e many independently operated websites due to low barriers to entry for online operators, which means the online segment of the industry is fragmented. However, acquisitions by major players mean that they are increasing their dominance. Such firms use ext</w:t>
            </w:r>
            <w:r>
              <w:rPr>
                <w:rFonts w:ascii="Arial" w:eastAsia="Arial" w:hAnsi="Arial" w:cs="Arial"/>
                <w:sz w:val="16"/>
                <w:szCs w:val="16"/>
              </w:rPr>
              <w:t>ensive marketing to increase consumers' brand awareness and encourage brand loyalty. Larger online operators also provide 24-hour customer support by email or through call centres. The level of market share concentration in the industry is expected to rise</w:t>
            </w:r>
            <w:r>
              <w:rPr>
                <w:rFonts w:ascii="Arial" w:eastAsia="Arial" w:hAnsi="Arial" w:cs="Arial"/>
                <w:sz w:val="16"/>
                <w:szCs w:val="16"/>
              </w:rPr>
              <w:t xml:space="preserve"> to some extent over the five years through 2025-26 as major operators extend their reach, mostly through acquisition activity. Consolidation of the independent and small chains and franchised shops is likely to occur as travellers continue to use online s</w:t>
            </w:r>
            <w:r>
              <w:rPr>
                <w:rFonts w:ascii="Arial" w:eastAsia="Arial" w:hAnsi="Arial" w:cs="Arial"/>
                <w:sz w:val="16"/>
                <w:szCs w:val="16"/>
              </w:rPr>
              <w:t xml:space="preserve">ervices. This environment will require operators to focus more on meeting changing consumer needs and catering to their preference for booking travel online. </w:t>
            </w:r>
            <w:r>
              <w:rPr>
                <w:noProof/>
              </w:rPr>
              <w:drawing>
                <wp:anchor distT="0" distB="0" distL="115200" distR="115200" simplePos="0" relativeHeight="251657728" behindDoc="0" locked="0" layoutInCell="1" allowOverlap="1" wp14:anchorId="4797A0F5" wp14:editId="1F06A648">
                  <wp:simplePos x="0" y="0"/>
                  <wp:positionH relativeFrom="margin">
                    <wp:align>right</wp:align>
                  </wp:positionH>
                  <wp:positionV relativeFrom="paragraph">
                    <wp:posOffset>0</wp:posOffset>
                  </wp:positionV>
                  <wp:extent cx="2381250" cy="2857500"/>
                  <wp:effectExtent l="0" t="0" r="0" b="0"/>
                  <wp:wrapSquare wrapText="bothSides"/>
                  <wp:docPr id="85" name="Picture 85"/>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63" cstate="print"/>
                          <a:stretch>
                            <a:fillRect/>
                          </a:stretch>
                        </pic:blipFill>
                        <pic:spPr>
                          <a:xfrm>
                            <a:off x="0" y="0"/>
                            <a:ext cx="2381250" cy="2857500"/>
                          </a:xfrm>
                          <a:prstGeom prst="rect">
                            <a:avLst/>
                          </a:prstGeom>
                        </pic:spPr>
                      </pic:pic>
                    </a:graphicData>
                  </a:graphic>
                </wp:anchor>
              </w:drawing>
            </w:r>
          </w:p>
        </w:tc>
      </w:tr>
      <w:tr w:rsidR="00B16DFE" w14:paraId="597B8BDF" w14:textId="77777777">
        <w:tc>
          <w:tcPr>
            <w:tcW w:w="4000" w:type="pct"/>
            <w:gridSpan w:val="2"/>
          </w:tcPr>
          <w:p w14:paraId="269FBF53" w14:textId="77777777" w:rsidR="00B16DFE" w:rsidRDefault="00B16DFE">
            <w:pPr>
              <w:spacing w:after="0" w:line="225" w:lineRule="atLeast"/>
              <w:rPr>
                <w:rFonts w:ascii="Arial" w:eastAsia="Arial" w:hAnsi="Arial" w:cs="Arial"/>
                <w:sz w:val="16"/>
                <w:szCs w:val="16"/>
              </w:rPr>
            </w:pPr>
          </w:p>
        </w:tc>
      </w:tr>
      <w:tr w:rsidR="00B16DFE" w14:paraId="502E3554" w14:textId="77777777">
        <w:tc>
          <w:tcPr>
            <w:tcW w:w="1000" w:type="pct"/>
          </w:tcPr>
          <w:p w14:paraId="73B1D71B" w14:textId="77777777" w:rsidR="00B16DFE" w:rsidRDefault="009F0859">
            <w:pPr>
              <w:pStyle w:val="Heading2"/>
              <w:spacing w:before="0" w:line="270" w:lineRule="atLeast"/>
              <w:rPr>
                <w:rFonts w:ascii="Arial" w:eastAsia="Arial" w:hAnsi="Arial" w:cs="Arial"/>
                <w:color w:val="333333"/>
                <w:spacing w:val="4"/>
                <w:sz w:val="21"/>
                <w:szCs w:val="21"/>
              </w:rPr>
            </w:pPr>
            <w:bookmarkStart w:id="21" w:name="_Toc22"/>
            <w:r>
              <w:rPr>
                <w:rFonts w:ascii="Arial" w:eastAsia="Arial" w:hAnsi="Arial" w:cs="Arial"/>
                <w:color w:val="333333"/>
                <w:spacing w:val="4"/>
                <w:sz w:val="21"/>
                <w:szCs w:val="21"/>
              </w:rPr>
              <w:t xml:space="preserve">Key Success </w:t>
            </w:r>
            <w:r>
              <w:br/>
            </w:r>
            <w:r>
              <w:rPr>
                <w:rFonts w:ascii="Arial" w:eastAsia="Arial" w:hAnsi="Arial" w:cs="Arial"/>
                <w:color w:val="333333"/>
                <w:spacing w:val="4"/>
                <w:sz w:val="21"/>
                <w:szCs w:val="21"/>
              </w:rPr>
              <w:t>Factors</w:t>
            </w:r>
            <w:bookmarkEnd w:id="21"/>
          </w:p>
        </w:tc>
        <w:tc>
          <w:tcPr>
            <w:tcW w:w="4000" w:type="pct"/>
          </w:tcPr>
          <w:p w14:paraId="089612A2"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 xml:space="preserve">IBISWorld identifies 250 Key Success Factors for a business. The </w:t>
            </w:r>
            <w:r>
              <w:rPr>
                <w:rFonts w:ascii="Arial" w:eastAsia="Arial" w:hAnsi="Arial" w:cs="Arial"/>
                <w:sz w:val="16"/>
                <w:szCs w:val="16"/>
              </w:rPr>
              <w:t>most important for this industry are:</w:t>
            </w:r>
          </w:p>
          <w:p w14:paraId="00559304"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Ability to quickly adopt new technology:</w:t>
            </w:r>
            <w:r>
              <w:br/>
            </w:r>
            <w:r>
              <w:rPr>
                <w:rFonts w:ascii="Arial" w:eastAsia="Arial" w:hAnsi="Arial" w:cs="Arial"/>
                <w:sz w:val="16"/>
                <w:szCs w:val="16"/>
              </w:rPr>
              <w:t>Travel agents must adapt to emerging technology quickly. The move to providing services online is a major change that enterprises are likely to implement.</w:t>
            </w:r>
          </w:p>
          <w:p w14:paraId="6DF5C2D6"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Use of high volume/low</w:t>
            </w:r>
            <w:r>
              <w:rPr>
                <w:rFonts w:ascii="Arial" w:eastAsia="Arial" w:hAnsi="Arial" w:cs="Arial"/>
                <w:b/>
                <w:bCs/>
                <w:sz w:val="18"/>
                <w:szCs w:val="18"/>
              </w:rPr>
              <w:t xml:space="preserve"> margin strategy:</w:t>
            </w:r>
            <w:r>
              <w:br/>
            </w:r>
            <w:r>
              <w:rPr>
                <w:rFonts w:ascii="Arial" w:eastAsia="Arial" w:hAnsi="Arial" w:cs="Arial"/>
                <w:sz w:val="16"/>
                <w:szCs w:val="16"/>
              </w:rPr>
              <w:t>Due to significant competitive pressure from corporate booking websites, the industry is rapidly becoming a high-volume, low-margin industry. Smaller operators must consider offering more expensive value-added services in niche markets.</w:t>
            </w:r>
          </w:p>
          <w:p w14:paraId="08408967"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D</w:t>
            </w:r>
            <w:r>
              <w:rPr>
                <w:rFonts w:ascii="Arial" w:eastAsia="Arial" w:hAnsi="Arial" w:cs="Arial"/>
                <w:b/>
                <w:bCs/>
                <w:sz w:val="18"/>
                <w:szCs w:val="18"/>
              </w:rPr>
              <w:t>evelopment of new products:</w:t>
            </w:r>
            <w:r>
              <w:br/>
            </w:r>
            <w:r>
              <w:rPr>
                <w:rFonts w:ascii="Arial" w:eastAsia="Arial" w:hAnsi="Arial" w:cs="Arial"/>
                <w:sz w:val="16"/>
                <w:szCs w:val="16"/>
              </w:rPr>
              <w:t>Offering products that can be adapted to meet clients' needs can give a business a competitive advantage.</w:t>
            </w:r>
          </w:p>
          <w:p w14:paraId="2EE3E772"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Access to multiskilled and flexible workforce:</w:t>
            </w:r>
            <w:r>
              <w:br/>
            </w:r>
            <w:r>
              <w:rPr>
                <w:rFonts w:ascii="Arial" w:eastAsia="Arial" w:hAnsi="Arial" w:cs="Arial"/>
                <w:sz w:val="16"/>
                <w:szCs w:val="16"/>
              </w:rPr>
              <w:t>Having staff that are well trained, know their products, have travelled ext</w:t>
            </w:r>
            <w:r>
              <w:rPr>
                <w:rFonts w:ascii="Arial" w:eastAsia="Arial" w:hAnsi="Arial" w:cs="Arial"/>
                <w:sz w:val="16"/>
                <w:szCs w:val="16"/>
              </w:rPr>
              <w:t>ensively and can provide excellent customer service is vital to retaining customers.</w:t>
            </w:r>
          </w:p>
          <w:p w14:paraId="7832CEA3" w14:textId="77777777" w:rsidR="00B16DFE" w:rsidRDefault="009F0859">
            <w:pPr>
              <w:spacing w:after="120" w:line="240" w:lineRule="atLeast"/>
              <w:rPr>
                <w:rFonts w:ascii="Arial" w:eastAsia="Arial" w:hAnsi="Arial" w:cs="Arial"/>
                <w:sz w:val="16"/>
                <w:szCs w:val="16"/>
              </w:rPr>
            </w:pPr>
            <w:r>
              <w:rPr>
                <w:rFonts w:ascii="Arial" w:eastAsia="Arial" w:hAnsi="Arial" w:cs="Arial"/>
                <w:b/>
                <w:bCs/>
                <w:sz w:val="18"/>
                <w:szCs w:val="18"/>
              </w:rPr>
              <w:t>Business expertise of operators:</w:t>
            </w:r>
            <w:r>
              <w:br/>
            </w:r>
            <w:r>
              <w:rPr>
                <w:rFonts w:ascii="Arial" w:eastAsia="Arial" w:hAnsi="Arial" w:cs="Arial"/>
                <w:sz w:val="16"/>
                <w:szCs w:val="16"/>
              </w:rPr>
              <w:t xml:space="preserve">Smaller travel agents can benefit from building relationships with hotels and tourism operators abroad, which then offer good deals </w:t>
            </w:r>
            <w:r>
              <w:rPr>
                <w:rFonts w:ascii="Arial" w:eastAsia="Arial" w:hAnsi="Arial" w:cs="Arial"/>
                <w:sz w:val="16"/>
                <w:szCs w:val="16"/>
              </w:rPr>
              <w:t>when selling to their customers in the United Kingdom.</w:t>
            </w:r>
          </w:p>
        </w:tc>
      </w:tr>
      <w:tr w:rsidR="00B16DFE" w14:paraId="5A0F974F" w14:textId="77777777">
        <w:tc>
          <w:tcPr>
            <w:tcW w:w="4000" w:type="pct"/>
            <w:gridSpan w:val="2"/>
          </w:tcPr>
          <w:p w14:paraId="17C0C9EF" w14:textId="77777777" w:rsidR="00B16DFE" w:rsidRDefault="00B16DFE">
            <w:pPr>
              <w:spacing w:after="0" w:line="225" w:lineRule="atLeast"/>
              <w:rPr>
                <w:rFonts w:ascii="Arial" w:eastAsia="Arial" w:hAnsi="Arial" w:cs="Arial"/>
                <w:sz w:val="16"/>
                <w:szCs w:val="16"/>
              </w:rPr>
            </w:pPr>
          </w:p>
        </w:tc>
      </w:tr>
      <w:tr w:rsidR="00B16DFE" w14:paraId="6AF4A805" w14:textId="77777777">
        <w:trPr>
          <w:cantSplit/>
        </w:trPr>
        <w:tc>
          <w:tcPr>
            <w:tcW w:w="1000" w:type="pct"/>
          </w:tcPr>
          <w:p w14:paraId="232CA876" w14:textId="77777777" w:rsidR="00B16DFE" w:rsidRDefault="009F0859">
            <w:pPr>
              <w:pStyle w:val="Heading2"/>
              <w:spacing w:before="0" w:line="270" w:lineRule="atLeast"/>
              <w:rPr>
                <w:rFonts w:ascii="Arial" w:eastAsia="Arial" w:hAnsi="Arial" w:cs="Arial"/>
                <w:color w:val="333333"/>
                <w:spacing w:val="4"/>
                <w:sz w:val="21"/>
                <w:szCs w:val="21"/>
              </w:rPr>
            </w:pPr>
            <w:bookmarkStart w:id="22" w:name="_Toc23"/>
            <w:r>
              <w:rPr>
                <w:rFonts w:ascii="Arial" w:eastAsia="Arial" w:hAnsi="Arial" w:cs="Arial"/>
                <w:color w:val="333333"/>
                <w:spacing w:val="4"/>
                <w:sz w:val="21"/>
                <w:szCs w:val="21"/>
              </w:rPr>
              <w:lastRenderedPageBreak/>
              <w:t xml:space="preserve">Cost Structure </w:t>
            </w:r>
            <w:r>
              <w:br/>
            </w:r>
            <w:r>
              <w:rPr>
                <w:rFonts w:ascii="Arial" w:eastAsia="Arial" w:hAnsi="Arial" w:cs="Arial"/>
                <w:color w:val="333333"/>
                <w:spacing w:val="4"/>
                <w:sz w:val="21"/>
                <w:szCs w:val="21"/>
              </w:rPr>
              <w:t>Benchmarks</w:t>
            </w:r>
            <w:bookmarkEnd w:id="22"/>
          </w:p>
        </w:tc>
        <w:tc>
          <w:tcPr>
            <w:tcW w:w="4000" w:type="pct"/>
          </w:tcPr>
          <w:p w14:paraId="03478CE4" w14:textId="77777777" w:rsidR="00B16DFE" w:rsidRDefault="009F0859">
            <w:pPr>
              <w:spacing w:after="0" w:line="225" w:lineRule="atLeast"/>
              <w:rPr>
                <w:rFonts w:ascii="Arial" w:eastAsia="Arial" w:hAnsi="Arial" w:cs="Arial"/>
                <w:sz w:val="16"/>
                <w:szCs w:val="16"/>
              </w:rPr>
            </w:pPr>
            <w:r>
              <w:rPr>
                <w:noProof/>
              </w:rPr>
              <w:drawing>
                <wp:inline distT="0" distB="0" distL="0" distR="0" wp14:anchorId="5D25D260" wp14:editId="0F048BE3">
                  <wp:extent cx="5238750" cy="2672832"/>
                  <wp:effectExtent l="0" t="0" r="0" b="0"/>
                  <wp:docPr id="87" name="Picture 87"/>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64" cstate="print"/>
                          <a:stretch>
                            <a:fillRect/>
                          </a:stretch>
                        </pic:blipFill>
                        <pic:spPr>
                          <a:xfrm>
                            <a:off x="0" y="0"/>
                            <a:ext cx="5238750" cy="2672832"/>
                          </a:xfrm>
                          <a:prstGeom prst="rect">
                            <a:avLst/>
                          </a:prstGeom>
                        </pic:spPr>
                      </pic:pic>
                    </a:graphicData>
                  </a:graphic>
                </wp:inline>
              </w:drawing>
            </w:r>
          </w:p>
        </w:tc>
      </w:tr>
      <w:tr w:rsidR="00B16DFE" w14:paraId="689B93DF" w14:textId="77777777">
        <w:tc>
          <w:tcPr>
            <w:tcW w:w="4000" w:type="pct"/>
            <w:gridSpan w:val="2"/>
          </w:tcPr>
          <w:p w14:paraId="46DEB391" w14:textId="77777777" w:rsidR="00B16DFE" w:rsidRDefault="00B16DFE">
            <w:pPr>
              <w:spacing w:after="0" w:line="225" w:lineRule="atLeast"/>
              <w:rPr>
                <w:rFonts w:ascii="Arial" w:eastAsia="Arial" w:hAnsi="Arial" w:cs="Arial"/>
                <w:sz w:val="16"/>
                <w:szCs w:val="16"/>
              </w:rPr>
            </w:pPr>
          </w:p>
        </w:tc>
      </w:tr>
      <w:tr w:rsidR="00B16DFE" w14:paraId="743DEB90"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1961"/>
              <w:gridCol w:w="5150"/>
              <w:gridCol w:w="3516"/>
            </w:tblGrid>
            <w:tr w:rsidR="00B16DFE" w14:paraId="42AFF6C0" w14:textId="77777777">
              <w:trPr>
                <w:cantSplit/>
              </w:trPr>
              <w:tc>
                <w:tcPr>
                  <w:tcW w:w="1000" w:type="pct"/>
                </w:tcPr>
                <w:p w14:paraId="3384B5D1"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tcPr>
                <w:p w14:paraId="053FEAAC"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Profit</w:t>
                  </w:r>
                </w:p>
                <w:p w14:paraId="001A7080"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 xml:space="preserve">Profit margins for online operators tend to be higher than for their physical counterparts due to lower labour and overhead costs. The increasing </w:t>
                  </w:r>
                  <w:r>
                    <w:rPr>
                      <w:rFonts w:ascii="Arial" w:eastAsia="Arial" w:hAnsi="Arial" w:cs="Arial"/>
                      <w:sz w:val="16"/>
                      <w:szCs w:val="16"/>
                    </w:rPr>
                    <w:t>importance of the internet has created an opportunity for operators to lower costs by moving operations online; firms that have taken advantage of this are expected to have higher profit margins.</w:t>
                  </w:r>
                </w:p>
                <w:p w14:paraId="115A91D4"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The average industry profit margin is expected to fall to 1.</w:t>
                  </w:r>
                  <w:r>
                    <w:rPr>
                      <w:rFonts w:ascii="Arial" w:eastAsia="Arial" w:hAnsi="Arial" w:cs="Arial"/>
                      <w:sz w:val="16"/>
                      <w:szCs w:val="16"/>
                    </w:rPr>
                    <w:t>9% in 2020-21, from 5.9% in 2015-16. This can be largely attributed to falling sales towards the end of the period, following hotter than expected summers in these years. Moreover, since the outbreak of COVID-19 (coronavirus), numerous consumers have cance</w:t>
                  </w:r>
                  <w:r>
                    <w:rPr>
                      <w:rFonts w:ascii="Arial" w:eastAsia="Arial" w:hAnsi="Arial" w:cs="Arial"/>
                      <w:sz w:val="16"/>
                      <w:szCs w:val="16"/>
                    </w:rPr>
                    <w:t xml:space="preserve">lled or postponed booking holidays. Lower demand and cancelled itineraries are likely to weigh on profit as firms attempt to sell tickets at discounted prices, putting downward pressure on margins. Industry operators have also been forced to offer refunds </w:t>
                  </w:r>
                  <w:r>
                    <w:rPr>
                      <w:rFonts w:ascii="Arial" w:eastAsia="Arial" w:hAnsi="Arial" w:cs="Arial"/>
                      <w:sz w:val="16"/>
                      <w:szCs w:val="16"/>
                    </w:rPr>
                    <w:t>to consumers who had holidays cancelled during the lockdown period, weighing heavily on margins in the current year. The EU referendum result and subsequent fall in the value of the pound and declining consumer confidence have not significantly affected pr</w:t>
                  </w:r>
                  <w:r>
                    <w:rPr>
                      <w:rFonts w:ascii="Arial" w:eastAsia="Arial" w:hAnsi="Arial" w:cs="Arial"/>
                      <w:sz w:val="16"/>
                      <w:szCs w:val="16"/>
                    </w:rPr>
                    <w:t>ofitability over the past five-year period.</w:t>
                  </w:r>
                </w:p>
              </w:tc>
              <w:tc>
                <w:tcPr>
                  <w:tcW w:w="1500" w:type="pct"/>
                </w:tcPr>
                <w:p w14:paraId="5A9935C0" w14:textId="77777777" w:rsidR="00B16DFE" w:rsidRDefault="009F0859">
                  <w:pPr>
                    <w:spacing w:after="0" w:line="225" w:lineRule="atLeast"/>
                    <w:rPr>
                      <w:rFonts w:ascii="Arial" w:eastAsia="Arial" w:hAnsi="Arial" w:cs="Arial"/>
                      <w:sz w:val="16"/>
                      <w:szCs w:val="16"/>
                    </w:rPr>
                  </w:pPr>
                  <w:r>
                    <w:rPr>
                      <w:noProof/>
                    </w:rPr>
                    <w:drawing>
                      <wp:inline distT="0" distB="0" distL="0" distR="0" wp14:anchorId="3C77433B" wp14:editId="465AF803">
                        <wp:extent cx="2095500" cy="2095500"/>
                        <wp:effectExtent l="0" t="0" r="0" b="0"/>
                        <wp:docPr id="89" name="Picture 89"/>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65" cstate="print"/>
                                <a:stretch>
                                  <a:fillRect/>
                                </a:stretch>
                              </pic:blipFill>
                              <pic:spPr>
                                <a:xfrm>
                                  <a:off x="0" y="0"/>
                                  <a:ext cx="2095500" cy="2095500"/>
                                </a:xfrm>
                                <a:prstGeom prst="rect">
                                  <a:avLst/>
                                </a:prstGeom>
                              </pic:spPr>
                            </pic:pic>
                          </a:graphicData>
                        </a:graphic>
                      </wp:inline>
                    </w:drawing>
                  </w:r>
                </w:p>
              </w:tc>
            </w:tr>
          </w:tbl>
          <w:p w14:paraId="7399F44C" w14:textId="77777777" w:rsidR="00B16DFE" w:rsidRDefault="00B16DFE"/>
        </w:tc>
      </w:tr>
      <w:tr w:rsidR="00B16DFE" w14:paraId="431B79DF" w14:textId="77777777">
        <w:tc>
          <w:tcPr>
            <w:tcW w:w="1000" w:type="pct"/>
          </w:tcPr>
          <w:p w14:paraId="0682D925"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64D10E38" w14:textId="77777777" w:rsidR="00B16DFE" w:rsidRDefault="00B16DFE"/>
        </w:tc>
      </w:tr>
      <w:tr w:rsidR="00B16DFE" w14:paraId="736A2C20"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1961"/>
              <w:gridCol w:w="5150"/>
              <w:gridCol w:w="3516"/>
            </w:tblGrid>
            <w:tr w:rsidR="00B16DFE" w14:paraId="7414FE99" w14:textId="77777777">
              <w:trPr>
                <w:cantSplit/>
              </w:trPr>
              <w:tc>
                <w:tcPr>
                  <w:tcW w:w="1000" w:type="pct"/>
                </w:tcPr>
                <w:p w14:paraId="101F3FB3"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tcPr>
                <w:p w14:paraId="19DB67C8"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Wages</w:t>
                  </w:r>
                </w:p>
                <w:p w14:paraId="11292E83"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 xml:space="preserve">Travel agents concentrate on providing their customers with a high-quality service. In many areas, this still involves a large component of personal service and advice, including making </w:t>
                  </w:r>
                  <w:r>
                    <w:rPr>
                      <w:rFonts w:ascii="Arial" w:eastAsia="Arial" w:hAnsi="Arial" w:cs="Arial"/>
                      <w:sz w:val="16"/>
                      <w:szCs w:val="16"/>
                    </w:rPr>
                    <w:t>recommendations; issuing e-tickets; comparing airlines' prices, travel schedules and routes; providing travel schedules; and making and confirming reservations, even though much of this activity is computerised and involves using an online global distribut</w:t>
                  </w:r>
                  <w:r>
                    <w:rPr>
                      <w:rFonts w:ascii="Arial" w:eastAsia="Arial" w:hAnsi="Arial" w:cs="Arial"/>
                      <w:sz w:val="16"/>
                      <w:szCs w:val="16"/>
                    </w:rPr>
                    <w:t>ion system. Experienced consultants can provide an extra level of expertise and planning, as well as speed in booking.</w:t>
                  </w:r>
                </w:p>
                <w:p w14:paraId="73EA1CAC"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 xml:space="preserve">Wage costs have fallen as a percentage of industry revenue, over the past five years due to the changing staff mix in the industry; many </w:t>
                  </w:r>
                  <w:r>
                    <w:rPr>
                      <w:rFonts w:ascii="Arial" w:eastAsia="Arial" w:hAnsi="Arial" w:cs="Arial"/>
                      <w:sz w:val="16"/>
                      <w:szCs w:val="16"/>
                    </w:rPr>
                    <w:t>customer-facing agents have been replaced with back office employees designed to support online businesses, while employment levels overall have only very marginally increased. Wages are expected to account for 6.8% of industry revenue in 2020-21. Nonethel</w:t>
                  </w:r>
                  <w:r>
                    <w:rPr>
                      <w:rFonts w:ascii="Arial" w:eastAsia="Arial" w:hAnsi="Arial" w:cs="Arial"/>
                      <w:sz w:val="16"/>
                      <w:szCs w:val="16"/>
                    </w:rPr>
                    <w:t>ess, nearly 10% of employees in the industry were affected by the introduction of the National Living Wage in 2016, according to the Office for National Statistics. If wage costs rise, more expensive physical premises are likely to come under pressure to c</w:t>
                  </w:r>
                  <w:r>
                    <w:rPr>
                      <w:rFonts w:ascii="Arial" w:eastAsia="Arial" w:hAnsi="Arial" w:cs="Arial"/>
                      <w:sz w:val="16"/>
                      <w:szCs w:val="16"/>
                    </w:rPr>
                    <w:t>lose and online businesses will become more prolific.</w:t>
                  </w:r>
                </w:p>
              </w:tc>
              <w:tc>
                <w:tcPr>
                  <w:tcW w:w="1500" w:type="pct"/>
                </w:tcPr>
                <w:p w14:paraId="775ADE74" w14:textId="77777777" w:rsidR="00B16DFE" w:rsidRDefault="009F0859">
                  <w:pPr>
                    <w:spacing w:after="0" w:line="225" w:lineRule="atLeast"/>
                    <w:rPr>
                      <w:rFonts w:ascii="Arial" w:eastAsia="Arial" w:hAnsi="Arial" w:cs="Arial"/>
                      <w:sz w:val="16"/>
                      <w:szCs w:val="16"/>
                    </w:rPr>
                  </w:pPr>
                  <w:r>
                    <w:rPr>
                      <w:noProof/>
                    </w:rPr>
                    <w:drawing>
                      <wp:inline distT="0" distB="0" distL="0" distR="0" wp14:anchorId="2AE9732B" wp14:editId="58F3F78F">
                        <wp:extent cx="2095500" cy="2095500"/>
                        <wp:effectExtent l="0" t="0" r="0" b="0"/>
                        <wp:docPr id="91" name="Picture 91"/>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66" cstate="print"/>
                                <a:stretch>
                                  <a:fillRect/>
                                </a:stretch>
                              </pic:blipFill>
                              <pic:spPr>
                                <a:xfrm>
                                  <a:off x="0" y="0"/>
                                  <a:ext cx="2095500" cy="2095500"/>
                                </a:xfrm>
                                <a:prstGeom prst="rect">
                                  <a:avLst/>
                                </a:prstGeom>
                              </pic:spPr>
                            </pic:pic>
                          </a:graphicData>
                        </a:graphic>
                      </wp:inline>
                    </w:drawing>
                  </w:r>
                </w:p>
              </w:tc>
            </w:tr>
          </w:tbl>
          <w:p w14:paraId="64783A87" w14:textId="77777777" w:rsidR="00B16DFE" w:rsidRDefault="00B16DFE"/>
        </w:tc>
      </w:tr>
      <w:tr w:rsidR="00B16DFE" w14:paraId="10C47C36" w14:textId="77777777">
        <w:tc>
          <w:tcPr>
            <w:tcW w:w="1000" w:type="pct"/>
          </w:tcPr>
          <w:p w14:paraId="4B2BB4B8"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lastRenderedPageBreak/>
              <w:t> </w:t>
            </w:r>
          </w:p>
        </w:tc>
        <w:tc>
          <w:tcPr>
            <w:tcW w:w="4000" w:type="pct"/>
          </w:tcPr>
          <w:p w14:paraId="66C0E2AA" w14:textId="77777777" w:rsidR="00B16DFE" w:rsidRDefault="00B16DFE"/>
        </w:tc>
      </w:tr>
      <w:tr w:rsidR="00B16DFE" w14:paraId="525019F6"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1961"/>
              <w:gridCol w:w="5150"/>
              <w:gridCol w:w="3516"/>
            </w:tblGrid>
            <w:tr w:rsidR="00B16DFE" w14:paraId="2094BE68" w14:textId="77777777">
              <w:trPr>
                <w:cantSplit/>
              </w:trPr>
              <w:tc>
                <w:tcPr>
                  <w:tcW w:w="1000" w:type="pct"/>
                </w:tcPr>
                <w:p w14:paraId="5CDDDF09"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tcPr>
                <w:p w14:paraId="46C237AF"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Purchases</w:t>
                  </w:r>
                </w:p>
                <w:p w14:paraId="23DEFF21"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 xml:space="preserve">The largest cost for the industry is purchases, which are expected to account for 52.8% of industry revenue in 2020-21. Travel agents require access to global </w:t>
                  </w:r>
                  <w:r>
                    <w:rPr>
                      <w:rFonts w:ascii="Arial" w:eastAsia="Arial" w:hAnsi="Arial" w:cs="Arial"/>
                      <w:sz w:val="16"/>
                      <w:szCs w:val="16"/>
                    </w:rPr>
                    <w:t>distribution systems so they can provide customers with joined up services. This is a fundamental running expense for any travel agent. Since they need to have packages available to sell on to their clients, paying suppliers for tour packages absorbs the b</w:t>
                  </w:r>
                  <w:r>
                    <w:rPr>
                      <w:rFonts w:ascii="Arial" w:eastAsia="Arial" w:hAnsi="Arial" w:cs="Arial"/>
                      <w:sz w:val="16"/>
                      <w:szCs w:val="16"/>
                    </w:rPr>
                    <w:t>ulk of industry operators' spending. Flights bought in bulk from airlines, to be able to be sold on to customers at a slightly discounted price, also absorb a large proportion of operators' purchases. Other purchases include items such as brochures that ai</w:t>
                  </w:r>
                  <w:r>
                    <w:rPr>
                      <w:rFonts w:ascii="Arial" w:eastAsia="Arial" w:hAnsi="Arial" w:cs="Arial"/>
                      <w:sz w:val="16"/>
                      <w:szCs w:val="16"/>
                    </w:rPr>
                    <w:t>m to persuade customers to buy from travel agents.</w:t>
                  </w:r>
                </w:p>
              </w:tc>
              <w:tc>
                <w:tcPr>
                  <w:tcW w:w="1500" w:type="pct"/>
                </w:tcPr>
                <w:p w14:paraId="3CEE6490" w14:textId="77777777" w:rsidR="00B16DFE" w:rsidRDefault="009F0859">
                  <w:pPr>
                    <w:spacing w:after="0" w:line="225" w:lineRule="atLeast"/>
                    <w:rPr>
                      <w:rFonts w:ascii="Arial" w:eastAsia="Arial" w:hAnsi="Arial" w:cs="Arial"/>
                      <w:sz w:val="16"/>
                      <w:szCs w:val="16"/>
                    </w:rPr>
                  </w:pPr>
                  <w:r>
                    <w:rPr>
                      <w:noProof/>
                    </w:rPr>
                    <w:drawing>
                      <wp:inline distT="0" distB="0" distL="0" distR="0" wp14:anchorId="226D18F8" wp14:editId="4E63AAC6">
                        <wp:extent cx="2095500" cy="2095500"/>
                        <wp:effectExtent l="0" t="0" r="0" b="0"/>
                        <wp:docPr id="93" name="Picture 93"/>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67" cstate="print"/>
                                <a:stretch>
                                  <a:fillRect/>
                                </a:stretch>
                              </pic:blipFill>
                              <pic:spPr>
                                <a:xfrm>
                                  <a:off x="0" y="0"/>
                                  <a:ext cx="2095500" cy="2095500"/>
                                </a:xfrm>
                                <a:prstGeom prst="rect">
                                  <a:avLst/>
                                </a:prstGeom>
                              </pic:spPr>
                            </pic:pic>
                          </a:graphicData>
                        </a:graphic>
                      </wp:inline>
                    </w:drawing>
                  </w:r>
                </w:p>
              </w:tc>
            </w:tr>
          </w:tbl>
          <w:p w14:paraId="05596A4F" w14:textId="77777777" w:rsidR="00B16DFE" w:rsidRDefault="00B16DFE"/>
        </w:tc>
      </w:tr>
      <w:tr w:rsidR="00B16DFE" w14:paraId="7F3145C9" w14:textId="77777777">
        <w:tc>
          <w:tcPr>
            <w:tcW w:w="1000" w:type="pct"/>
          </w:tcPr>
          <w:p w14:paraId="6600D439"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48DA7116" w14:textId="77777777" w:rsidR="00B16DFE" w:rsidRDefault="00B16DFE"/>
        </w:tc>
      </w:tr>
      <w:tr w:rsidR="00B16DFE" w14:paraId="760D3C67"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1961"/>
              <w:gridCol w:w="5150"/>
              <w:gridCol w:w="3516"/>
            </w:tblGrid>
            <w:tr w:rsidR="00B16DFE" w14:paraId="715EDFBA" w14:textId="77777777">
              <w:trPr>
                <w:cantSplit/>
              </w:trPr>
              <w:tc>
                <w:tcPr>
                  <w:tcW w:w="1000" w:type="pct"/>
                </w:tcPr>
                <w:p w14:paraId="204F2655"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tcPr>
                <w:p w14:paraId="177E5D87"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Marketing</w:t>
                  </w:r>
                </w:p>
                <w:p w14:paraId="65D6C4EE"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 xml:space="preserve">Operators also bear the cost of marketing, expected to account for 1.9% of revenue in 2020-21. This is higher than the sector average, as marketing is important for operators to </w:t>
                  </w:r>
                  <w:r>
                    <w:rPr>
                      <w:rFonts w:ascii="Arial" w:eastAsia="Arial" w:hAnsi="Arial" w:cs="Arial"/>
                      <w:sz w:val="16"/>
                      <w:szCs w:val="16"/>
                    </w:rPr>
                    <w:t>gain reputation and a loyal customer base in this highly competitive industry. The nature of the industry means customers often shop around for the best deal. This subsequently means operators dedicate a large amount of revenue to ensuring consumers are aw</w:t>
                  </w:r>
                  <w:r>
                    <w:rPr>
                      <w:rFonts w:ascii="Arial" w:eastAsia="Arial" w:hAnsi="Arial" w:cs="Arial"/>
                      <w:sz w:val="16"/>
                      <w:szCs w:val="16"/>
                    </w:rPr>
                    <w:t>are of their brand and any deals that they may be offering. They also heavily advertise up and coming and on trend travel destinations and experiences, in order to appeal to the large share of the market that value this characteristic of a holiday.</w:t>
                  </w:r>
                </w:p>
              </w:tc>
              <w:tc>
                <w:tcPr>
                  <w:tcW w:w="1500" w:type="pct"/>
                </w:tcPr>
                <w:p w14:paraId="7B4DC3D6" w14:textId="77777777" w:rsidR="00B16DFE" w:rsidRDefault="009F0859">
                  <w:pPr>
                    <w:spacing w:after="0" w:line="225" w:lineRule="atLeast"/>
                    <w:rPr>
                      <w:rFonts w:ascii="Arial" w:eastAsia="Arial" w:hAnsi="Arial" w:cs="Arial"/>
                      <w:sz w:val="16"/>
                      <w:szCs w:val="16"/>
                    </w:rPr>
                  </w:pPr>
                  <w:r>
                    <w:rPr>
                      <w:noProof/>
                    </w:rPr>
                    <w:drawing>
                      <wp:inline distT="0" distB="0" distL="0" distR="0" wp14:anchorId="609B4F1C" wp14:editId="4136D591">
                        <wp:extent cx="2095500" cy="2095500"/>
                        <wp:effectExtent l="0" t="0" r="0" b="0"/>
                        <wp:docPr id="95" name="Picture 95"/>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68" cstate="print"/>
                                <a:stretch>
                                  <a:fillRect/>
                                </a:stretch>
                              </pic:blipFill>
                              <pic:spPr>
                                <a:xfrm>
                                  <a:off x="0" y="0"/>
                                  <a:ext cx="2095500" cy="2095500"/>
                                </a:xfrm>
                                <a:prstGeom prst="rect">
                                  <a:avLst/>
                                </a:prstGeom>
                              </pic:spPr>
                            </pic:pic>
                          </a:graphicData>
                        </a:graphic>
                      </wp:inline>
                    </w:drawing>
                  </w:r>
                </w:p>
              </w:tc>
            </w:tr>
          </w:tbl>
          <w:p w14:paraId="5FB9CD7E" w14:textId="77777777" w:rsidR="00B16DFE" w:rsidRDefault="00B16DFE"/>
        </w:tc>
      </w:tr>
      <w:tr w:rsidR="00B16DFE" w14:paraId="05F73F93" w14:textId="77777777">
        <w:tc>
          <w:tcPr>
            <w:tcW w:w="1000" w:type="pct"/>
          </w:tcPr>
          <w:p w14:paraId="74D32F41"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64C8C9EC" w14:textId="77777777" w:rsidR="00B16DFE" w:rsidRDefault="00B16DFE"/>
        </w:tc>
      </w:tr>
      <w:tr w:rsidR="00B16DFE" w14:paraId="387D5EC2"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1961"/>
              <w:gridCol w:w="5150"/>
              <w:gridCol w:w="3516"/>
            </w:tblGrid>
            <w:tr w:rsidR="00B16DFE" w14:paraId="30E5DB3E" w14:textId="77777777">
              <w:trPr>
                <w:cantSplit/>
              </w:trPr>
              <w:tc>
                <w:tcPr>
                  <w:tcW w:w="1000" w:type="pct"/>
                </w:tcPr>
                <w:p w14:paraId="794E9FE6"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tcPr>
                <w:p w14:paraId="58592EEB"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Depreciation</w:t>
                  </w:r>
                </w:p>
                <w:p w14:paraId="7069CAA7"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Depreciation is low in the industry but has increased due to technological change and is expected to account for 1.1% of industry revenue in 2020-21. The use of computer- and internet-based infrastructure has increased in recent years, le</w:t>
                  </w:r>
                  <w:r>
                    <w:rPr>
                      <w:rFonts w:ascii="Arial" w:eastAsia="Arial" w:hAnsi="Arial" w:cs="Arial"/>
                      <w:sz w:val="16"/>
                      <w:szCs w:val="16"/>
                    </w:rPr>
                    <w:t>ading to higher depreciation costs. Web hosting costs and costs associated with maintaining this equipment have also increased.</w:t>
                  </w:r>
                </w:p>
              </w:tc>
              <w:tc>
                <w:tcPr>
                  <w:tcW w:w="1500" w:type="pct"/>
                </w:tcPr>
                <w:p w14:paraId="25906E58" w14:textId="77777777" w:rsidR="00B16DFE" w:rsidRDefault="009F0859">
                  <w:pPr>
                    <w:spacing w:after="0" w:line="225" w:lineRule="atLeast"/>
                    <w:rPr>
                      <w:rFonts w:ascii="Arial" w:eastAsia="Arial" w:hAnsi="Arial" w:cs="Arial"/>
                      <w:sz w:val="16"/>
                      <w:szCs w:val="16"/>
                    </w:rPr>
                  </w:pPr>
                  <w:r>
                    <w:rPr>
                      <w:noProof/>
                    </w:rPr>
                    <w:drawing>
                      <wp:inline distT="0" distB="0" distL="0" distR="0" wp14:anchorId="6FABE0D5" wp14:editId="2FDD3E52">
                        <wp:extent cx="2095500" cy="2095500"/>
                        <wp:effectExtent l="0" t="0" r="0" b="0"/>
                        <wp:docPr id="97" name="Picture 97"/>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69" cstate="print"/>
                                <a:stretch>
                                  <a:fillRect/>
                                </a:stretch>
                              </pic:blipFill>
                              <pic:spPr>
                                <a:xfrm>
                                  <a:off x="0" y="0"/>
                                  <a:ext cx="2095500" cy="2095500"/>
                                </a:xfrm>
                                <a:prstGeom prst="rect">
                                  <a:avLst/>
                                </a:prstGeom>
                              </pic:spPr>
                            </pic:pic>
                          </a:graphicData>
                        </a:graphic>
                      </wp:inline>
                    </w:drawing>
                  </w:r>
                </w:p>
              </w:tc>
            </w:tr>
          </w:tbl>
          <w:p w14:paraId="7D18B8FB" w14:textId="77777777" w:rsidR="00B16DFE" w:rsidRDefault="00B16DFE"/>
        </w:tc>
      </w:tr>
      <w:tr w:rsidR="00B16DFE" w14:paraId="632EAB30" w14:textId="77777777">
        <w:tc>
          <w:tcPr>
            <w:tcW w:w="1000" w:type="pct"/>
          </w:tcPr>
          <w:p w14:paraId="3CA90FC5"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3CCEC37F" w14:textId="77777777" w:rsidR="00B16DFE" w:rsidRDefault="00B16DFE"/>
        </w:tc>
      </w:tr>
      <w:tr w:rsidR="00B16DFE" w14:paraId="7B96360F"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1961"/>
              <w:gridCol w:w="5150"/>
              <w:gridCol w:w="3516"/>
            </w:tblGrid>
            <w:tr w:rsidR="00B16DFE" w14:paraId="29E0B5AB" w14:textId="77777777">
              <w:trPr>
                <w:cantSplit/>
              </w:trPr>
              <w:tc>
                <w:tcPr>
                  <w:tcW w:w="1000" w:type="pct"/>
                </w:tcPr>
                <w:p w14:paraId="106A384B"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tcPr>
                <w:p w14:paraId="55FE3F48"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Rent</w:t>
                  </w:r>
                </w:p>
                <w:p w14:paraId="15CE832D"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 xml:space="preserve">Rent accounts for an expected 5.9% of industry revenue in 2020-21. Stores need to be in a prominent </w:t>
                  </w:r>
                  <w:r>
                    <w:rPr>
                      <w:rFonts w:ascii="Arial" w:eastAsia="Arial" w:hAnsi="Arial" w:cs="Arial"/>
                      <w:sz w:val="16"/>
                      <w:szCs w:val="16"/>
                    </w:rPr>
                    <w:t xml:space="preserve">location with high footfall to attract passing trade. A central location commands a hefty </w:t>
                  </w:r>
                  <w:proofErr w:type="gramStart"/>
                  <w:r>
                    <w:rPr>
                      <w:rFonts w:ascii="Arial" w:eastAsia="Arial" w:hAnsi="Arial" w:cs="Arial"/>
                      <w:sz w:val="16"/>
                      <w:szCs w:val="16"/>
                    </w:rPr>
                    <w:t>price</w:t>
                  </w:r>
                  <w:proofErr w:type="gramEnd"/>
                  <w:r>
                    <w:rPr>
                      <w:rFonts w:ascii="Arial" w:eastAsia="Arial" w:hAnsi="Arial" w:cs="Arial"/>
                      <w:sz w:val="16"/>
                      <w:szCs w:val="16"/>
                    </w:rPr>
                    <w:t xml:space="preserve"> however. London is home to the largest percentage of industry establishments due to high footfall, however rent is much higher in London than other areas of the</w:t>
                  </w:r>
                  <w:r>
                    <w:rPr>
                      <w:rFonts w:ascii="Arial" w:eastAsia="Arial" w:hAnsi="Arial" w:cs="Arial"/>
                      <w:sz w:val="16"/>
                      <w:szCs w:val="16"/>
                    </w:rPr>
                    <w:t xml:space="preserve"> country. In general, rent and the utilities required to operate a store are fixed costs. The increase in online activity is expected to have lowered average rent costs, though the number of establishments is still expected to increase over the five years </w:t>
                  </w:r>
                  <w:r>
                    <w:rPr>
                      <w:rFonts w:ascii="Arial" w:eastAsia="Arial" w:hAnsi="Arial" w:cs="Arial"/>
                      <w:sz w:val="16"/>
                      <w:szCs w:val="16"/>
                    </w:rPr>
                    <w:t>through 2020-21. Rent costs are expected to rise as a share of revenue in the current year, as they have remained stable while revenue has fallen.</w:t>
                  </w:r>
                </w:p>
              </w:tc>
              <w:tc>
                <w:tcPr>
                  <w:tcW w:w="1500" w:type="pct"/>
                </w:tcPr>
                <w:p w14:paraId="2E8B1CE8" w14:textId="77777777" w:rsidR="00B16DFE" w:rsidRDefault="009F0859">
                  <w:pPr>
                    <w:spacing w:after="0" w:line="225" w:lineRule="atLeast"/>
                    <w:rPr>
                      <w:rFonts w:ascii="Arial" w:eastAsia="Arial" w:hAnsi="Arial" w:cs="Arial"/>
                      <w:sz w:val="16"/>
                      <w:szCs w:val="16"/>
                    </w:rPr>
                  </w:pPr>
                  <w:r>
                    <w:rPr>
                      <w:noProof/>
                    </w:rPr>
                    <w:drawing>
                      <wp:inline distT="0" distB="0" distL="0" distR="0" wp14:anchorId="55AC9BD7" wp14:editId="59E36EF4">
                        <wp:extent cx="2095500" cy="2095500"/>
                        <wp:effectExtent l="0" t="0" r="0" b="0"/>
                        <wp:docPr id="99" name="Picture 99"/>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70" cstate="print"/>
                                <a:stretch>
                                  <a:fillRect/>
                                </a:stretch>
                              </pic:blipFill>
                              <pic:spPr>
                                <a:xfrm>
                                  <a:off x="0" y="0"/>
                                  <a:ext cx="2095500" cy="2095500"/>
                                </a:xfrm>
                                <a:prstGeom prst="rect">
                                  <a:avLst/>
                                </a:prstGeom>
                              </pic:spPr>
                            </pic:pic>
                          </a:graphicData>
                        </a:graphic>
                      </wp:inline>
                    </w:drawing>
                  </w:r>
                </w:p>
              </w:tc>
            </w:tr>
          </w:tbl>
          <w:p w14:paraId="2CA61C3E" w14:textId="77777777" w:rsidR="00B16DFE" w:rsidRDefault="00B16DFE"/>
        </w:tc>
      </w:tr>
      <w:tr w:rsidR="00B16DFE" w14:paraId="41ED5E1E" w14:textId="77777777">
        <w:tc>
          <w:tcPr>
            <w:tcW w:w="1000" w:type="pct"/>
          </w:tcPr>
          <w:p w14:paraId="4CA4DEDA"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lastRenderedPageBreak/>
              <w:t> </w:t>
            </w:r>
          </w:p>
        </w:tc>
        <w:tc>
          <w:tcPr>
            <w:tcW w:w="4000" w:type="pct"/>
          </w:tcPr>
          <w:p w14:paraId="6C061F58" w14:textId="77777777" w:rsidR="00B16DFE" w:rsidRDefault="00B16DFE"/>
        </w:tc>
      </w:tr>
      <w:tr w:rsidR="00B16DFE" w14:paraId="3CE9E4EF"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1961"/>
              <w:gridCol w:w="5150"/>
              <w:gridCol w:w="3516"/>
            </w:tblGrid>
            <w:tr w:rsidR="00B16DFE" w14:paraId="4FAE22C4" w14:textId="77777777">
              <w:trPr>
                <w:cantSplit/>
              </w:trPr>
              <w:tc>
                <w:tcPr>
                  <w:tcW w:w="1000" w:type="pct"/>
                </w:tcPr>
                <w:p w14:paraId="4A407525"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tcPr>
                <w:p w14:paraId="25DAFAE3"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Utilities</w:t>
                  </w:r>
                </w:p>
                <w:p w14:paraId="5CD7A643"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Utilities are expected to absorb a further 1.7% of revenue in 2020-21.</w:t>
                  </w:r>
                </w:p>
              </w:tc>
              <w:tc>
                <w:tcPr>
                  <w:tcW w:w="1500" w:type="pct"/>
                </w:tcPr>
                <w:p w14:paraId="58124356" w14:textId="77777777" w:rsidR="00B16DFE" w:rsidRDefault="009F0859">
                  <w:pPr>
                    <w:spacing w:after="0" w:line="225" w:lineRule="atLeast"/>
                    <w:rPr>
                      <w:rFonts w:ascii="Arial" w:eastAsia="Arial" w:hAnsi="Arial" w:cs="Arial"/>
                      <w:sz w:val="16"/>
                      <w:szCs w:val="16"/>
                    </w:rPr>
                  </w:pPr>
                  <w:r>
                    <w:rPr>
                      <w:noProof/>
                    </w:rPr>
                    <w:drawing>
                      <wp:inline distT="0" distB="0" distL="0" distR="0" wp14:anchorId="05247D68" wp14:editId="63EBAE6F">
                        <wp:extent cx="2095500" cy="2095500"/>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71" cstate="print"/>
                                <a:stretch>
                                  <a:fillRect/>
                                </a:stretch>
                              </pic:blipFill>
                              <pic:spPr>
                                <a:xfrm>
                                  <a:off x="0" y="0"/>
                                  <a:ext cx="2095500" cy="2095500"/>
                                </a:xfrm>
                                <a:prstGeom prst="rect">
                                  <a:avLst/>
                                </a:prstGeom>
                              </pic:spPr>
                            </pic:pic>
                          </a:graphicData>
                        </a:graphic>
                      </wp:inline>
                    </w:drawing>
                  </w:r>
                </w:p>
              </w:tc>
            </w:tr>
          </w:tbl>
          <w:p w14:paraId="6678A1F3" w14:textId="77777777" w:rsidR="00B16DFE" w:rsidRDefault="00B16DFE"/>
        </w:tc>
      </w:tr>
      <w:tr w:rsidR="00B16DFE" w14:paraId="61D5322E" w14:textId="77777777">
        <w:tc>
          <w:tcPr>
            <w:tcW w:w="1000" w:type="pct"/>
          </w:tcPr>
          <w:p w14:paraId="74006FC0"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4FCC0B2A" w14:textId="77777777" w:rsidR="00B16DFE" w:rsidRDefault="00B16DFE"/>
        </w:tc>
      </w:tr>
      <w:tr w:rsidR="00B16DFE" w14:paraId="5392D800"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1961"/>
              <w:gridCol w:w="5150"/>
              <w:gridCol w:w="3516"/>
            </w:tblGrid>
            <w:tr w:rsidR="00B16DFE" w14:paraId="0347DE90" w14:textId="77777777">
              <w:trPr>
                <w:cantSplit/>
              </w:trPr>
              <w:tc>
                <w:tcPr>
                  <w:tcW w:w="1000" w:type="pct"/>
                </w:tcPr>
                <w:p w14:paraId="4AF30C71"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2500" w:type="pct"/>
                </w:tcPr>
                <w:p w14:paraId="69311CF2"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Other Costs</w:t>
                  </w:r>
                </w:p>
                <w:p w14:paraId="1C305E36"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 xml:space="preserve">Other costs incurred relate to finance, insurance, taxes and administration. Many small agencies are affiliated to a host agency that provides training and assistance for a percentage of revenue and usually a one-off joining fee. This accounts </w:t>
                  </w:r>
                  <w:r>
                    <w:rPr>
                      <w:rFonts w:ascii="Arial" w:eastAsia="Arial" w:hAnsi="Arial" w:cs="Arial"/>
                      <w:sz w:val="16"/>
                      <w:szCs w:val="16"/>
                    </w:rPr>
                    <w:t>for a substantial proportion of revenue for small agencies. Other running costs include subscriptions to industry associations such as the Association of British Travel Agents. Compliance costs are also notable, given that consumer rights and protection is</w:t>
                  </w:r>
                  <w:r>
                    <w:rPr>
                      <w:rFonts w:ascii="Arial" w:eastAsia="Arial" w:hAnsi="Arial" w:cs="Arial"/>
                      <w:sz w:val="16"/>
                      <w:szCs w:val="16"/>
                    </w:rPr>
                    <w:t>sues have received greater focus over the years.</w:t>
                  </w:r>
                </w:p>
              </w:tc>
              <w:tc>
                <w:tcPr>
                  <w:tcW w:w="1500" w:type="pct"/>
                </w:tcPr>
                <w:p w14:paraId="069AFF7C" w14:textId="77777777" w:rsidR="00B16DFE" w:rsidRDefault="009F0859">
                  <w:pPr>
                    <w:spacing w:after="0" w:line="225" w:lineRule="atLeast"/>
                    <w:rPr>
                      <w:rFonts w:ascii="Arial" w:eastAsia="Arial" w:hAnsi="Arial" w:cs="Arial"/>
                      <w:sz w:val="16"/>
                      <w:szCs w:val="16"/>
                    </w:rPr>
                  </w:pPr>
                  <w:r>
                    <w:rPr>
                      <w:noProof/>
                    </w:rPr>
                    <w:drawing>
                      <wp:inline distT="0" distB="0" distL="0" distR="0" wp14:anchorId="638FC63E" wp14:editId="1DB52446">
                        <wp:extent cx="2095500" cy="2095500"/>
                        <wp:effectExtent l="0" t="0" r="0" b="0"/>
                        <wp:docPr id="103" name="Picture 103"/>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72" cstate="print"/>
                                <a:stretch>
                                  <a:fillRect/>
                                </a:stretch>
                              </pic:blipFill>
                              <pic:spPr>
                                <a:xfrm>
                                  <a:off x="0" y="0"/>
                                  <a:ext cx="2095500" cy="2095500"/>
                                </a:xfrm>
                                <a:prstGeom prst="rect">
                                  <a:avLst/>
                                </a:prstGeom>
                              </pic:spPr>
                            </pic:pic>
                          </a:graphicData>
                        </a:graphic>
                      </wp:inline>
                    </w:drawing>
                  </w:r>
                </w:p>
              </w:tc>
            </w:tr>
          </w:tbl>
          <w:p w14:paraId="7731FBB9" w14:textId="77777777" w:rsidR="00B16DFE" w:rsidRDefault="00B16DFE"/>
        </w:tc>
      </w:tr>
      <w:tr w:rsidR="00B16DFE" w14:paraId="12979793" w14:textId="77777777">
        <w:tc>
          <w:tcPr>
            <w:tcW w:w="1000" w:type="pct"/>
          </w:tcPr>
          <w:p w14:paraId="43756937"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0A524E6E" w14:textId="77777777" w:rsidR="00B16DFE" w:rsidRDefault="009F0859">
            <w:pPr>
              <w:spacing w:after="0" w:line="225" w:lineRule="atLeast"/>
              <w:rPr>
                <w:rFonts w:ascii="Arial" w:eastAsia="Arial" w:hAnsi="Arial" w:cs="Arial"/>
                <w:sz w:val="16"/>
                <w:szCs w:val="16"/>
              </w:rPr>
            </w:pPr>
            <w:r>
              <w:br/>
            </w:r>
            <w:r>
              <w:rPr>
                <w:noProof/>
              </w:rPr>
              <w:drawing>
                <wp:inline distT="0" distB="0" distL="0" distR="0" wp14:anchorId="493D4C8C" wp14:editId="4FAE7CC3">
                  <wp:extent cx="5238750" cy="1746250"/>
                  <wp:effectExtent l="0" t="0" r="0" b="0"/>
                  <wp:docPr id="105" name="Picture 105"/>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73" cstate="print"/>
                          <a:stretch>
                            <a:fillRect/>
                          </a:stretch>
                        </pic:blipFill>
                        <pic:spPr>
                          <a:xfrm>
                            <a:off x="0" y="0"/>
                            <a:ext cx="5238750" cy="1746250"/>
                          </a:xfrm>
                          <a:prstGeom prst="rect">
                            <a:avLst/>
                          </a:prstGeom>
                        </pic:spPr>
                      </pic:pic>
                    </a:graphicData>
                  </a:graphic>
                </wp:inline>
              </w:drawing>
            </w:r>
            <w:r>
              <w:br/>
            </w:r>
          </w:p>
        </w:tc>
      </w:tr>
      <w:tr w:rsidR="00B16DFE" w14:paraId="49701B5A" w14:textId="77777777">
        <w:tc>
          <w:tcPr>
            <w:tcW w:w="4000" w:type="pct"/>
            <w:gridSpan w:val="2"/>
          </w:tcPr>
          <w:p w14:paraId="5C9E8C10" w14:textId="77777777" w:rsidR="00B16DFE" w:rsidRDefault="00B16DFE">
            <w:pPr>
              <w:spacing w:after="0" w:line="225" w:lineRule="atLeast"/>
              <w:rPr>
                <w:rFonts w:ascii="Arial" w:eastAsia="Arial" w:hAnsi="Arial" w:cs="Arial"/>
                <w:sz w:val="16"/>
                <w:szCs w:val="16"/>
              </w:rPr>
            </w:pPr>
          </w:p>
        </w:tc>
      </w:tr>
      <w:tr w:rsidR="00B16DFE" w14:paraId="6C6BFD20" w14:textId="77777777">
        <w:tc>
          <w:tcPr>
            <w:tcW w:w="1000" w:type="pct"/>
          </w:tcPr>
          <w:p w14:paraId="6CD627DB" w14:textId="77777777" w:rsidR="00B16DFE" w:rsidRDefault="009F0859">
            <w:pPr>
              <w:pStyle w:val="Heading2"/>
              <w:spacing w:before="0" w:line="270" w:lineRule="atLeast"/>
              <w:rPr>
                <w:rFonts w:ascii="Arial" w:eastAsia="Arial" w:hAnsi="Arial" w:cs="Arial"/>
                <w:color w:val="333333"/>
                <w:spacing w:val="4"/>
                <w:sz w:val="21"/>
                <w:szCs w:val="21"/>
              </w:rPr>
            </w:pPr>
            <w:bookmarkStart w:id="23" w:name="_Toc24"/>
            <w:r>
              <w:rPr>
                <w:rFonts w:ascii="Arial" w:eastAsia="Arial" w:hAnsi="Arial" w:cs="Arial"/>
                <w:color w:val="333333"/>
                <w:spacing w:val="4"/>
                <w:sz w:val="21"/>
                <w:szCs w:val="21"/>
              </w:rPr>
              <w:t>Basis of</w:t>
            </w:r>
            <w:r>
              <w:br/>
            </w:r>
            <w:r>
              <w:rPr>
                <w:rFonts w:ascii="Arial" w:eastAsia="Arial" w:hAnsi="Arial" w:cs="Arial"/>
                <w:color w:val="333333"/>
                <w:spacing w:val="4"/>
                <w:sz w:val="21"/>
                <w:szCs w:val="21"/>
              </w:rPr>
              <w:t>Competition</w:t>
            </w:r>
            <w:bookmarkEnd w:id="23"/>
          </w:p>
        </w:tc>
        <w:tc>
          <w:tcPr>
            <w:tcW w:w="4000" w:type="pct"/>
          </w:tcPr>
          <w:p w14:paraId="6EC3E66E" w14:textId="77777777" w:rsidR="00B16DFE" w:rsidRDefault="009F0859">
            <w:pPr>
              <w:spacing w:after="120" w:line="240" w:lineRule="atLeast"/>
              <w:rPr>
                <w:rFonts w:ascii="Arial" w:eastAsia="Arial" w:hAnsi="Arial" w:cs="Arial"/>
                <w:sz w:val="16"/>
                <w:szCs w:val="16"/>
              </w:rPr>
            </w:pPr>
            <w:r>
              <w:rPr>
                <w:rFonts w:ascii="Arial" w:eastAsia="Arial" w:hAnsi="Arial" w:cs="Arial"/>
                <w:b/>
                <w:bCs/>
                <w:sz w:val="18"/>
                <w:szCs w:val="18"/>
              </w:rPr>
              <w:t>Competition in this industry is </w:t>
            </w:r>
            <w:r>
              <w:rPr>
                <w:rFonts w:ascii="Arial" w:eastAsia="Arial" w:hAnsi="Arial" w:cs="Arial"/>
                <w:sz w:val="16"/>
                <w:szCs w:val="16"/>
              </w:rPr>
              <w:t xml:space="preserve"> </w:t>
            </w:r>
            <w:r>
              <w:rPr>
                <w:noProof/>
              </w:rPr>
              <w:drawing>
                <wp:inline distT="0" distB="0" distL="0" distR="0" wp14:anchorId="73F51FE0" wp14:editId="1DD4C8D1">
                  <wp:extent cx="91440" cy="91440"/>
                  <wp:effectExtent l="0" t="0" r="0" b="0"/>
                  <wp:docPr id="107" name="Picture 107" descr="Bad"/>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74"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DB1F2C"/>
                <w:sz w:val="18"/>
                <w:szCs w:val="18"/>
              </w:rPr>
              <w:t xml:space="preserve">High </w:t>
            </w:r>
            <w:r>
              <w:rPr>
                <w:rFonts w:ascii="Arial" w:eastAsia="Arial" w:hAnsi="Arial" w:cs="Arial"/>
                <w:b/>
                <w:bCs/>
                <w:sz w:val="18"/>
                <w:szCs w:val="18"/>
              </w:rPr>
              <w:t>and the trend is Increasing</w:t>
            </w:r>
          </w:p>
        </w:tc>
      </w:tr>
      <w:tr w:rsidR="00B16DFE" w14:paraId="70109ECD" w14:textId="77777777">
        <w:tc>
          <w:tcPr>
            <w:tcW w:w="1000" w:type="pct"/>
          </w:tcPr>
          <w:p w14:paraId="05DA9583" w14:textId="77777777" w:rsidR="00B16DFE" w:rsidRDefault="009F0859">
            <w:pPr>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2DA670D2" w14:textId="77777777" w:rsidR="00B16DFE" w:rsidRDefault="009F0859">
            <w:pPr>
              <w:spacing w:after="180" w:line="240" w:lineRule="atLeast"/>
              <w:rPr>
                <w:rFonts w:ascii="Arial" w:eastAsia="Arial" w:hAnsi="Arial" w:cs="Arial"/>
                <w:caps/>
                <w:sz w:val="16"/>
                <w:szCs w:val="16"/>
              </w:rPr>
            </w:pPr>
            <w:r>
              <w:rPr>
                <w:rFonts w:ascii="Arial" w:eastAsia="Arial" w:hAnsi="Arial" w:cs="Arial"/>
                <w:b/>
                <w:bCs/>
                <w:caps/>
                <w:sz w:val="18"/>
                <w:szCs w:val="18"/>
              </w:rPr>
              <w:t>Internal competition</w:t>
            </w:r>
          </w:p>
          <w:p w14:paraId="654304E6" w14:textId="77777777" w:rsidR="00B16DFE" w:rsidRDefault="009F0859">
            <w:pPr>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 xml:space="preserve">Internal competition focuses on price, quality and type of services and </w:t>
            </w:r>
            <w:r>
              <w:rPr>
                <w:rFonts w:ascii="Arial" w:eastAsia="Arial" w:hAnsi="Arial" w:cs="Arial"/>
                <w:b/>
                <w:bCs/>
                <w:color w:val="7A1315"/>
                <w:sz w:val="24"/>
                <w:szCs w:val="24"/>
              </w:rPr>
              <w:t>advertisement.</w:t>
            </w:r>
          </w:p>
          <w:p w14:paraId="571FD8E0" w14:textId="77777777" w:rsidR="00B16DFE" w:rsidRDefault="00B16DFE">
            <w:pPr>
              <w:spacing w:after="0" w:line="225" w:lineRule="atLeast"/>
              <w:rPr>
                <w:rFonts w:ascii="Arial" w:eastAsia="Arial" w:hAnsi="Arial" w:cs="Arial"/>
                <w:sz w:val="16"/>
                <w:szCs w:val="16"/>
              </w:rPr>
            </w:pPr>
          </w:p>
          <w:p w14:paraId="7BCFE3BC" w14:textId="77777777" w:rsidR="00B16DFE" w:rsidRDefault="009F0859">
            <w:pPr>
              <w:spacing w:after="300" w:line="225" w:lineRule="atLeast"/>
              <w:rPr>
                <w:rFonts w:ascii="Arial" w:eastAsia="Arial" w:hAnsi="Arial" w:cs="Arial"/>
                <w:sz w:val="16"/>
                <w:szCs w:val="16"/>
              </w:rPr>
            </w:pPr>
            <w:r>
              <w:rPr>
                <w:rFonts w:ascii="Arial" w:eastAsia="Arial" w:hAnsi="Arial" w:cs="Arial"/>
                <w:sz w:val="16"/>
                <w:szCs w:val="16"/>
              </w:rPr>
              <w:t>The emergence of travel websites has allowed consumers to compare prices across many different travel agencies in the United Kingdom in order to find the best value for money, intensifying price competition. Firms offering products and serv</w:t>
            </w:r>
            <w:r>
              <w:rPr>
                <w:rFonts w:ascii="Arial" w:eastAsia="Arial" w:hAnsi="Arial" w:cs="Arial"/>
                <w:sz w:val="16"/>
                <w:szCs w:val="16"/>
              </w:rPr>
              <w:t>ices at cheaper prices are likely to be more competitive and receive increased demand as a result.</w:t>
            </w:r>
          </w:p>
          <w:p w14:paraId="7160A5BF"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Less experienced travellers are likely to opt for holiday packages with more services provided, for example all-inclusive stays at hotels and tours organised</w:t>
            </w:r>
            <w:r>
              <w:rPr>
                <w:rFonts w:ascii="Arial" w:eastAsia="Arial" w:hAnsi="Arial" w:cs="Arial"/>
                <w:sz w:val="16"/>
                <w:szCs w:val="16"/>
              </w:rPr>
              <w:t xml:space="preserve"> through travel agents. In addition, these types of travellers are likely to expect detailed knowledge of destinations and products from industry operators. Therefore, operators providing more extensive and higher quality services are likely to receive gre</w:t>
            </w:r>
            <w:r>
              <w:rPr>
                <w:rFonts w:ascii="Arial" w:eastAsia="Arial" w:hAnsi="Arial" w:cs="Arial"/>
                <w:sz w:val="16"/>
                <w:szCs w:val="16"/>
              </w:rPr>
              <w:t xml:space="preserve">ater demand from this market. However, the wealth of information available on the internet has led to an increase in informed travellers that conduct independent research on where they would like to visit and what is available to them. This is expected to </w:t>
            </w:r>
            <w:r>
              <w:rPr>
                <w:rFonts w:ascii="Arial" w:eastAsia="Arial" w:hAnsi="Arial" w:cs="Arial"/>
                <w:sz w:val="16"/>
                <w:szCs w:val="16"/>
              </w:rPr>
              <w:t xml:space="preserve">have contributed to an increase in demand for trips to more remote places, which were not traditionally thought of as common holiday destinations. </w:t>
            </w:r>
            <w:r>
              <w:rPr>
                <w:rFonts w:ascii="Arial" w:eastAsia="Arial" w:hAnsi="Arial" w:cs="Arial"/>
                <w:sz w:val="16"/>
                <w:szCs w:val="16"/>
              </w:rPr>
              <w:lastRenderedPageBreak/>
              <w:t>Therefore, operators offering a range of services and areas are likely to be more competitive.</w:t>
            </w:r>
          </w:p>
          <w:p w14:paraId="23C3735E"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Firms that inv</w:t>
            </w:r>
            <w:r>
              <w:rPr>
                <w:rFonts w:ascii="Arial" w:eastAsia="Arial" w:hAnsi="Arial" w:cs="Arial"/>
                <w:sz w:val="16"/>
                <w:szCs w:val="16"/>
              </w:rPr>
              <w:t>est heavily in marketing are likely to reach a wider consumer base and as a result be more competitive against other industry operators. Social media has become an important tool in marketing and communications in the industry, as businesses are able to bu</w:t>
            </w:r>
            <w:r>
              <w:rPr>
                <w:rFonts w:ascii="Arial" w:eastAsia="Arial" w:hAnsi="Arial" w:cs="Arial"/>
                <w:sz w:val="16"/>
                <w:szCs w:val="16"/>
              </w:rPr>
              <w:t xml:space="preserve">ild brand awareness and customer relationships through this platform. According to a recent survey conducted by </w:t>
            </w:r>
            <w:proofErr w:type="spellStart"/>
            <w:r>
              <w:rPr>
                <w:rFonts w:ascii="Arial" w:eastAsia="Arial" w:hAnsi="Arial" w:cs="Arial"/>
                <w:sz w:val="16"/>
                <w:szCs w:val="16"/>
              </w:rPr>
              <w:t>Schofields</w:t>
            </w:r>
            <w:proofErr w:type="spellEnd"/>
            <w:r>
              <w:rPr>
                <w:rFonts w:ascii="Arial" w:eastAsia="Arial" w:hAnsi="Arial" w:cs="Arial"/>
                <w:sz w:val="16"/>
                <w:szCs w:val="16"/>
              </w:rPr>
              <w:t>, a UK-based holiday rental home insurance provider, more than 40% of those under 33 prioritise '</w:t>
            </w:r>
            <w:proofErr w:type="spellStart"/>
            <w:r>
              <w:rPr>
                <w:rFonts w:ascii="Arial" w:eastAsia="Arial" w:hAnsi="Arial" w:cs="Arial"/>
                <w:sz w:val="16"/>
                <w:szCs w:val="16"/>
              </w:rPr>
              <w:t>Instagrammability</w:t>
            </w:r>
            <w:proofErr w:type="spellEnd"/>
            <w:r>
              <w:rPr>
                <w:rFonts w:ascii="Arial" w:eastAsia="Arial" w:hAnsi="Arial" w:cs="Arial"/>
                <w:sz w:val="16"/>
                <w:szCs w:val="16"/>
              </w:rPr>
              <w:t>' when choosing thei</w:t>
            </w:r>
            <w:r>
              <w:rPr>
                <w:rFonts w:ascii="Arial" w:eastAsia="Arial" w:hAnsi="Arial" w:cs="Arial"/>
                <w:sz w:val="16"/>
                <w:szCs w:val="16"/>
              </w:rPr>
              <w:t xml:space="preserve">r next holiday spot. The picture-worthiness of a particular place beats other factors such as cost, local cuisine, and </w:t>
            </w:r>
            <w:proofErr w:type="gramStart"/>
            <w:r>
              <w:rPr>
                <w:rFonts w:ascii="Arial" w:eastAsia="Arial" w:hAnsi="Arial" w:cs="Arial"/>
                <w:sz w:val="16"/>
                <w:szCs w:val="16"/>
              </w:rPr>
              <w:t>whether or not</w:t>
            </w:r>
            <w:proofErr w:type="gramEnd"/>
            <w:r>
              <w:rPr>
                <w:rFonts w:ascii="Arial" w:eastAsia="Arial" w:hAnsi="Arial" w:cs="Arial"/>
                <w:sz w:val="16"/>
                <w:szCs w:val="16"/>
              </w:rPr>
              <w:t xml:space="preserve"> alcohol is freely available at a low cost. As a result, travel agencies that stay on top of travel trends and which destin</w:t>
            </w:r>
            <w:r>
              <w:rPr>
                <w:rFonts w:ascii="Arial" w:eastAsia="Arial" w:hAnsi="Arial" w:cs="Arial"/>
                <w:sz w:val="16"/>
                <w:szCs w:val="16"/>
              </w:rPr>
              <w:t>ations are being chosen by social media influencers can become more competitive within the millennial generation market.</w:t>
            </w:r>
          </w:p>
          <w:p w14:paraId="1C2DB50B" w14:textId="77777777" w:rsidR="00B16DFE" w:rsidRDefault="009F0859">
            <w:pPr>
              <w:spacing w:after="180" w:line="240" w:lineRule="atLeast"/>
              <w:rPr>
                <w:rFonts w:ascii="Arial" w:eastAsia="Arial" w:hAnsi="Arial" w:cs="Arial"/>
                <w:caps/>
                <w:sz w:val="16"/>
                <w:szCs w:val="16"/>
              </w:rPr>
            </w:pPr>
            <w:r>
              <w:rPr>
                <w:rFonts w:ascii="Arial" w:eastAsia="Arial" w:hAnsi="Arial" w:cs="Arial"/>
                <w:b/>
                <w:bCs/>
                <w:caps/>
                <w:sz w:val="18"/>
                <w:szCs w:val="18"/>
              </w:rPr>
              <w:t>External competition</w:t>
            </w:r>
          </w:p>
          <w:p w14:paraId="20871CF2" w14:textId="77777777" w:rsidR="00B16DFE" w:rsidRDefault="009F0859">
            <w:pPr>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 xml:space="preserve">Information on potential destinations is widely available online, and travel advice and review websites such as </w:t>
            </w:r>
            <w:r>
              <w:rPr>
                <w:rFonts w:ascii="Arial" w:eastAsia="Arial" w:hAnsi="Arial" w:cs="Arial"/>
                <w:b/>
                <w:bCs/>
                <w:color w:val="7A1315"/>
                <w:sz w:val="24"/>
                <w:szCs w:val="24"/>
              </w:rPr>
              <w:t>TripAdvisor are a source of external competition for operators, which had previously been the main source of travel information for consumers.</w:t>
            </w:r>
          </w:p>
          <w:p w14:paraId="7A6E415C" w14:textId="77777777" w:rsidR="00B16DFE" w:rsidRDefault="00B16DFE">
            <w:pPr>
              <w:spacing w:after="0" w:line="225" w:lineRule="atLeast"/>
              <w:rPr>
                <w:rFonts w:ascii="Arial" w:eastAsia="Arial" w:hAnsi="Arial" w:cs="Arial"/>
                <w:sz w:val="16"/>
                <w:szCs w:val="16"/>
              </w:rPr>
            </w:pPr>
          </w:p>
          <w:p w14:paraId="72CE5144" w14:textId="77777777" w:rsidR="00B16DFE" w:rsidRDefault="009F0859">
            <w:pPr>
              <w:spacing w:after="240" w:line="225" w:lineRule="atLeast"/>
              <w:rPr>
                <w:rFonts w:ascii="Arial" w:eastAsia="Arial" w:hAnsi="Arial" w:cs="Arial"/>
                <w:sz w:val="16"/>
                <w:szCs w:val="16"/>
              </w:rPr>
            </w:pPr>
            <w:r>
              <w:rPr>
                <w:rFonts w:ascii="Arial" w:eastAsia="Arial" w:hAnsi="Arial" w:cs="Arial"/>
                <w:sz w:val="16"/>
                <w:szCs w:val="16"/>
              </w:rPr>
              <w:t>As a result of the availability of information on the internet, many consumers now make travel arrangements inde</w:t>
            </w:r>
            <w:r>
              <w:rPr>
                <w:rFonts w:ascii="Arial" w:eastAsia="Arial" w:hAnsi="Arial" w:cs="Arial"/>
                <w:sz w:val="16"/>
                <w:szCs w:val="16"/>
              </w:rPr>
              <w:t>pendently of travel agents. Traditional travel agents have been forced to combat online booking engines by increasing their level of service, finding a niche market and offering other add-ons such as smartphone apps. Additionally, airline and hotel website</w:t>
            </w:r>
            <w:r>
              <w:rPr>
                <w:rFonts w:ascii="Arial" w:eastAsia="Arial" w:hAnsi="Arial" w:cs="Arial"/>
                <w:sz w:val="16"/>
                <w:szCs w:val="16"/>
              </w:rPr>
              <w:t>s provide a form of external competition as customers can bypass the industry by booking directly via these.</w:t>
            </w:r>
          </w:p>
        </w:tc>
      </w:tr>
    </w:tbl>
    <w:p w14:paraId="48A91D7A" w14:textId="77777777" w:rsidR="00B16DFE" w:rsidRDefault="00B16DFE">
      <w:pPr>
        <w:spacing w:after="0"/>
        <w:rPr>
          <w:vanish/>
        </w:rPr>
      </w:pPr>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1DF29D54" w14:textId="77777777">
        <w:tc>
          <w:tcPr>
            <w:tcW w:w="4000" w:type="pct"/>
            <w:gridSpan w:val="2"/>
          </w:tcPr>
          <w:p w14:paraId="1ADCA6AB" w14:textId="77777777" w:rsidR="00B16DFE" w:rsidRDefault="00B16DFE">
            <w:pPr>
              <w:keepNext/>
              <w:keepLines/>
              <w:spacing w:after="0" w:line="225" w:lineRule="atLeast"/>
              <w:rPr>
                <w:rFonts w:ascii="Arial" w:eastAsia="Arial" w:hAnsi="Arial" w:cs="Arial"/>
                <w:sz w:val="16"/>
                <w:szCs w:val="16"/>
              </w:rPr>
            </w:pPr>
          </w:p>
        </w:tc>
      </w:tr>
      <w:tr w:rsidR="00B16DFE" w14:paraId="1B471009" w14:textId="77777777">
        <w:trPr>
          <w:cantSplit/>
        </w:trPr>
        <w:tc>
          <w:tcPr>
            <w:tcW w:w="1000" w:type="pct"/>
          </w:tcPr>
          <w:p w14:paraId="7F8A639F" w14:textId="77777777" w:rsidR="00B16DFE" w:rsidRDefault="009F0859">
            <w:pPr>
              <w:pStyle w:val="Heading2"/>
              <w:spacing w:before="0" w:line="270" w:lineRule="atLeast"/>
              <w:rPr>
                <w:rFonts w:ascii="Arial" w:eastAsia="Arial" w:hAnsi="Arial" w:cs="Arial"/>
                <w:color w:val="333333"/>
                <w:spacing w:val="4"/>
                <w:sz w:val="21"/>
                <w:szCs w:val="21"/>
              </w:rPr>
            </w:pPr>
            <w:bookmarkStart w:id="24" w:name="_Toc25"/>
            <w:r>
              <w:rPr>
                <w:rFonts w:ascii="Arial" w:eastAsia="Arial" w:hAnsi="Arial" w:cs="Arial"/>
                <w:color w:val="333333"/>
                <w:spacing w:val="4"/>
                <w:sz w:val="21"/>
                <w:szCs w:val="21"/>
              </w:rPr>
              <w:t xml:space="preserve">Barriers to </w:t>
            </w:r>
            <w:r>
              <w:br/>
            </w:r>
            <w:r>
              <w:rPr>
                <w:rFonts w:ascii="Arial" w:eastAsia="Arial" w:hAnsi="Arial" w:cs="Arial"/>
                <w:color w:val="333333"/>
                <w:spacing w:val="4"/>
                <w:sz w:val="21"/>
                <w:szCs w:val="21"/>
              </w:rPr>
              <w:t>Entry</w:t>
            </w:r>
            <w:bookmarkEnd w:id="24"/>
          </w:p>
        </w:tc>
        <w:tc>
          <w:tcPr>
            <w:tcW w:w="4000" w:type="pct"/>
          </w:tcPr>
          <w:p w14:paraId="7B1CCF3B" w14:textId="77777777" w:rsidR="00B16DFE" w:rsidRDefault="009F0859">
            <w:pPr>
              <w:keepNext/>
              <w:keepLines/>
              <w:spacing w:after="120" w:line="240" w:lineRule="atLeast"/>
              <w:rPr>
                <w:rFonts w:ascii="Arial" w:eastAsia="Arial" w:hAnsi="Arial" w:cs="Arial"/>
                <w:sz w:val="16"/>
                <w:szCs w:val="16"/>
              </w:rPr>
            </w:pPr>
            <w:r>
              <w:rPr>
                <w:rFonts w:ascii="Arial" w:eastAsia="Arial" w:hAnsi="Arial" w:cs="Arial"/>
                <w:b/>
                <w:bCs/>
                <w:sz w:val="18"/>
                <w:szCs w:val="18"/>
              </w:rPr>
              <w:t>Barriers to Entry in this industry are </w:t>
            </w:r>
            <w:r>
              <w:rPr>
                <w:rFonts w:ascii="Arial" w:eastAsia="Arial" w:hAnsi="Arial" w:cs="Arial"/>
                <w:sz w:val="16"/>
                <w:szCs w:val="16"/>
              </w:rPr>
              <w:t xml:space="preserve"> </w:t>
            </w:r>
            <w:r>
              <w:rPr>
                <w:noProof/>
              </w:rPr>
              <w:drawing>
                <wp:inline distT="0" distB="0" distL="0" distR="0" wp14:anchorId="0728B7E5" wp14:editId="402387FC">
                  <wp:extent cx="91440" cy="91440"/>
                  <wp:effectExtent l="0" t="0" r="0" b="0"/>
                  <wp:docPr id="109" name="Picture 109" descr="Bad"/>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74"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DB1F2C"/>
                <w:sz w:val="18"/>
                <w:szCs w:val="18"/>
              </w:rPr>
              <w:t xml:space="preserve">Low </w:t>
            </w:r>
            <w:r>
              <w:rPr>
                <w:rFonts w:ascii="Arial" w:eastAsia="Arial" w:hAnsi="Arial" w:cs="Arial"/>
                <w:b/>
                <w:bCs/>
                <w:sz w:val="18"/>
                <w:szCs w:val="18"/>
              </w:rPr>
              <w:t>and the trend is Steady</w:t>
            </w:r>
          </w:p>
        </w:tc>
      </w:tr>
      <w:tr w:rsidR="00B16DFE" w14:paraId="05F39CAC" w14:textId="77777777">
        <w:tc>
          <w:tcPr>
            <w:tcW w:w="4000" w:type="pct"/>
            <w:gridSpan w:val="2"/>
          </w:tcPr>
          <w:tbl>
            <w:tblPr>
              <w:tblW w:w="5000" w:type="pct"/>
              <w:tblBorders>
                <w:top w:val="nil"/>
                <w:left w:val="nil"/>
                <w:bottom w:val="nil"/>
                <w:right w:val="nil"/>
                <w:insideH w:val="nil"/>
                <w:insideV w:val="nil"/>
              </w:tblBorders>
              <w:tblLook w:val="04A0" w:firstRow="1" w:lastRow="0" w:firstColumn="1" w:lastColumn="0" w:noHBand="0" w:noVBand="1"/>
            </w:tblPr>
            <w:tblGrid>
              <w:gridCol w:w="2125"/>
              <w:gridCol w:w="4251"/>
              <w:gridCol w:w="4251"/>
            </w:tblGrid>
            <w:tr w:rsidR="00B16DFE" w14:paraId="30780D7D" w14:textId="77777777">
              <w:trPr>
                <w:cantSplit/>
              </w:trPr>
              <w:tc>
                <w:tcPr>
                  <w:tcW w:w="1000" w:type="pct"/>
                </w:tcPr>
                <w:p w14:paraId="103ED7A7"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2000" w:type="pct"/>
                </w:tcPr>
                <w:p w14:paraId="55E3E5DA"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Barriers to entry into the industry are </w:t>
                  </w:r>
                  <w:r>
                    <w:rPr>
                      <w:rFonts w:ascii="Arial" w:eastAsia="Arial" w:hAnsi="Arial" w:cs="Arial"/>
                      <w:sz w:val="16"/>
                      <w:szCs w:val="16"/>
                    </w:rPr>
                    <w:t>expected to be low, however barriers to achieving a large market share are high. Start-up costs are diminishing due to decreasing high street presence within the industry, although larger and established firms still benefit from economies of scale and bran</w:t>
                  </w:r>
                  <w:r>
                    <w:rPr>
                      <w:rFonts w:ascii="Arial" w:eastAsia="Arial" w:hAnsi="Arial" w:cs="Arial"/>
                      <w:sz w:val="16"/>
                      <w:szCs w:val="16"/>
                    </w:rPr>
                    <w:t>d recognition. Common costs involved in entering the industry include office equipment, website construction, employees' salaries, office lease deposit, trade association membership, and industry specific software, such as booking systems. However, the inc</w:t>
                  </w:r>
                  <w:r>
                    <w:rPr>
                      <w:rFonts w:ascii="Arial" w:eastAsia="Arial" w:hAnsi="Arial" w:cs="Arial"/>
                      <w:sz w:val="16"/>
                      <w:szCs w:val="16"/>
                    </w:rPr>
                    <w:t>reasing use of the internet which has led to the transferral of the industry's operations from high street shops to online services has lowered barriers to entry by reducing start-up costs and general operating costs. New firms that focus more on online op</w:t>
                  </w:r>
                  <w:r>
                    <w:rPr>
                      <w:rFonts w:ascii="Arial" w:eastAsia="Arial" w:hAnsi="Arial" w:cs="Arial"/>
                      <w:sz w:val="16"/>
                      <w:szCs w:val="16"/>
                    </w:rPr>
                    <w:t>eration are less likely to be required to pay deposits and rent on shops and employ fewer customer service staff.</w:t>
                  </w:r>
                </w:p>
                <w:p w14:paraId="22F5C147"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Regulatory costs also present a barrier to entering the industry, although since regulation is moderate, such costs are not huge. Operators mu</w:t>
                  </w:r>
                  <w:r>
                    <w:rPr>
                      <w:rFonts w:ascii="Arial" w:eastAsia="Arial" w:hAnsi="Arial" w:cs="Arial"/>
                      <w:sz w:val="16"/>
                      <w:szCs w:val="16"/>
                    </w:rPr>
                    <w:t>st comply with the Civil Aviation Authorities' Air Traffic Organisers License regulations, which protects consumers from being stranded abroad. Operators providing food must also comply with stipulations of the Food Standards Agency while those selling pac</w:t>
                  </w:r>
                  <w:r>
                    <w:rPr>
                      <w:rFonts w:ascii="Arial" w:eastAsia="Arial" w:hAnsi="Arial" w:cs="Arial"/>
                      <w:sz w:val="16"/>
                      <w:szCs w:val="16"/>
                    </w:rPr>
                    <w:t>kage holidays must provide financial guarantees to consumers as set out in the 1992 Package Travel Regulations.</w:t>
                  </w:r>
                </w:p>
                <w:p w14:paraId="4904758B"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There is a certain degree of risk involved in booking a holiday; consumers' concerns about safety may lead them to favour travel agencies whose </w:t>
                  </w:r>
                  <w:r>
                    <w:rPr>
                      <w:rFonts w:ascii="Arial" w:eastAsia="Arial" w:hAnsi="Arial" w:cs="Arial"/>
                      <w:sz w:val="16"/>
                      <w:szCs w:val="16"/>
                    </w:rPr>
                    <w:t>brand they trust. Building a strong brand identity and trustworthy reputation is likely to take time, and therefore acts as a barrier to entry for new firms. However, some legislation, such as ATOL, can increase consumers' willingness to book tours with an</w:t>
                  </w:r>
                  <w:r>
                    <w:rPr>
                      <w:rFonts w:ascii="Arial" w:eastAsia="Arial" w:hAnsi="Arial" w:cs="Arial"/>
                      <w:sz w:val="16"/>
                      <w:szCs w:val="16"/>
                    </w:rPr>
                    <w:t xml:space="preserve"> operator, making them beneficial despite increased compliance costs.</w:t>
                  </w:r>
                </w:p>
                <w:p w14:paraId="4B1E2A8A"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Consumers associate a considerable degree of risk with flying and are often willing to pay a premium to fly with airlines they perceive to be safer and more comfortable. Therefore, for o</w:t>
                  </w:r>
                  <w:r>
                    <w:rPr>
                      <w:rFonts w:ascii="Arial" w:eastAsia="Arial" w:hAnsi="Arial" w:cs="Arial"/>
                      <w:sz w:val="16"/>
                      <w:szCs w:val="16"/>
                    </w:rPr>
                    <w:t>perators who offer overseas travel services, securing contracts with established and reputable airlines will be favourable. Firms entering the industry may find it difficult to compete with bigger and more established firms for such contracts, presenting a</w:t>
                  </w:r>
                  <w:r>
                    <w:rPr>
                      <w:rFonts w:ascii="Arial" w:eastAsia="Arial" w:hAnsi="Arial" w:cs="Arial"/>
                      <w:sz w:val="16"/>
                      <w:szCs w:val="16"/>
                    </w:rPr>
                    <w:t xml:space="preserve"> barrier to more widespread success.</w:t>
                  </w:r>
                </w:p>
                <w:p w14:paraId="5F52D030"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Larger firms benefit from economies of scale and therefore have more resources to spend on advertising and marketing. As a result, their services can be seen by a wider audience than new entrants, making larger firms mo</w:t>
                  </w:r>
                  <w:r>
                    <w:rPr>
                      <w:rFonts w:ascii="Arial" w:eastAsia="Arial" w:hAnsi="Arial" w:cs="Arial"/>
                      <w:sz w:val="16"/>
                      <w:szCs w:val="16"/>
                    </w:rPr>
                    <w:t>re competitive in comparison and creating a barrier to entry.</w:t>
                  </w:r>
                </w:p>
              </w:tc>
              <w:tc>
                <w:tcPr>
                  <w:tcW w:w="2000" w:type="pct"/>
                  <w:tcMar>
                    <w:top w:w="0" w:type="dxa"/>
                    <w:left w:w="75" w:type="dxa"/>
                    <w:bottom w:w="0" w:type="dxa"/>
                    <w:right w:w="0" w:type="dxa"/>
                  </w:tcMar>
                </w:tcPr>
                <w:tbl>
                  <w:tblPr>
                    <w:tblW w:w="5000" w:type="pct"/>
                    <w:tblCellSpacing w:w="0" w:type="dxa"/>
                    <w:tblBorders>
                      <w:top w:val="nil"/>
                      <w:left w:val="nil"/>
                      <w:bottom w:val="nil"/>
                      <w:right w:val="nil"/>
                      <w:insideH w:val="nil"/>
                      <w:insideV w:val="nil"/>
                    </w:tblBorders>
                    <w:tblLook w:val="04A0" w:firstRow="1" w:lastRow="0" w:firstColumn="1" w:lastColumn="0" w:noHBand="0" w:noVBand="1"/>
                  </w:tblPr>
                  <w:tblGrid>
                    <w:gridCol w:w="3269"/>
                    <w:gridCol w:w="701"/>
                    <w:gridCol w:w="206"/>
                  </w:tblGrid>
                  <w:tr w:rsidR="00B16DFE" w14:paraId="1B8D4B4E" w14:textId="77777777">
                    <w:trPr>
                      <w:tblHeader/>
                      <w:tblCellSpacing w:w="0" w:type="dxa"/>
                    </w:trPr>
                    <w:tc>
                      <w:tcPr>
                        <w:tcW w:w="0" w:type="auto"/>
                        <w:gridSpan w:val="3"/>
                        <w:tcMar>
                          <w:top w:w="0" w:type="dxa"/>
                          <w:left w:w="0" w:type="dxa"/>
                          <w:bottom w:w="60" w:type="dxa"/>
                          <w:right w:w="0" w:type="dxa"/>
                        </w:tcMar>
                        <w:vAlign w:val="center"/>
                      </w:tcPr>
                      <w:p w14:paraId="0709BC66" w14:textId="77777777" w:rsidR="00B16DFE" w:rsidRDefault="009F0859">
                        <w:pPr>
                          <w:keepNext/>
                          <w:keepLines/>
                          <w:spacing w:after="60" w:line="240" w:lineRule="atLeast"/>
                          <w:jc w:val="center"/>
                          <w:rPr>
                            <w:rFonts w:ascii="Arial" w:eastAsia="Arial" w:hAnsi="Arial" w:cs="Arial"/>
                            <w:b/>
                            <w:bCs/>
                            <w:color w:val="333333"/>
                            <w:sz w:val="18"/>
                            <w:szCs w:val="18"/>
                          </w:rPr>
                        </w:pPr>
                        <w:r>
                          <w:rPr>
                            <w:rFonts w:ascii="Arial" w:eastAsia="Arial" w:hAnsi="Arial" w:cs="Arial"/>
                            <w:b/>
                            <w:bCs/>
                            <w:color w:val="333333"/>
                            <w:sz w:val="18"/>
                            <w:szCs w:val="18"/>
                          </w:rPr>
                          <w:t>Barriers to Entry Checklist</w:t>
                        </w:r>
                      </w:p>
                    </w:tc>
                  </w:tr>
                  <w:tr w:rsidR="00B16DFE" w14:paraId="011A5E76" w14:textId="77777777">
                    <w:trPr>
                      <w:tblCellSpacing w:w="0" w:type="dxa"/>
                    </w:trPr>
                    <w:tc>
                      <w:tcPr>
                        <w:tcW w:w="3000" w:type="pct"/>
                        <w:tcBorders>
                          <w:top w:val="single" w:sz="3" w:space="0" w:color="D07368"/>
                          <w:bottom w:val="single" w:sz="6" w:space="0" w:color="CCCCCC"/>
                        </w:tcBorders>
                        <w:tcMar>
                          <w:top w:w="60" w:type="dxa"/>
                          <w:left w:w="0" w:type="dxa"/>
                          <w:bottom w:w="60" w:type="dxa"/>
                          <w:right w:w="0" w:type="dxa"/>
                        </w:tcMar>
                        <w:vAlign w:val="center"/>
                      </w:tcPr>
                      <w:p w14:paraId="168EB64C"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8"/>
                            <w:szCs w:val="18"/>
                          </w:rPr>
                          <w:t>Competition</w:t>
                        </w:r>
                      </w:p>
                    </w:tc>
                    <w:tc>
                      <w:tcPr>
                        <w:tcW w:w="500" w:type="pct"/>
                        <w:tcBorders>
                          <w:top w:val="single" w:sz="3" w:space="0" w:color="D07368"/>
                          <w:bottom w:val="single" w:sz="6" w:space="0" w:color="CCCCCC"/>
                        </w:tcBorders>
                        <w:tcMar>
                          <w:top w:w="60" w:type="dxa"/>
                          <w:left w:w="0" w:type="dxa"/>
                          <w:bottom w:w="60" w:type="dxa"/>
                          <w:right w:w="60" w:type="dxa"/>
                        </w:tcMar>
                        <w:vAlign w:val="center"/>
                      </w:tcPr>
                      <w:p w14:paraId="7BF4359B" w14:textId="77777777" w:rsidR="00B16DFE" w:rsidRDefault="009F0859">
                        <w:pPr>
                          <w:keepNext/>
                          <w:keepLines/>
                          <w:spacing w:after="0" w:line="225" w:lineRule="atLeast"/>
                          <w:jc w:val="right"/>
                          <w:rPr>
                            <w:rFonts w:ascii="Arial" w:eastAsia="Arial" w:hAnsi="Arial" w:cs="Arial"/>
                            <w:sz w:val="16"/>
                            <w:szCs w:val="16"/>
                          </w:rPr>
                        </w:pPr>
                        <w:r>
                          <w:rPr>
                            <w:rFonts w:ascii="Arial" w:eastAsia="Arial" w:hAnsi="Arial" w:cs="Arial"/>
                            <w:color w:val="DB1F2C"/>
                            <w:sz w:val="18"/>
                            <w:szCs w:val="18"/>
                          </w:rPr>
                          <w:t>High</w:t>
                        </w:r>
                      </w:p>
                    </w:tc>
                    <w:tc>
                      <w:tcPr>
                        <w:tcW w:w="250" w:type="pct"/>
                        <w:tcBorders>
                          <w:top w:val="single" w:sz="3" w:space="0" w:color="D07368"/>
                          <w:bottom w:val="single" w:sz="6" w:space="0" w:color="CCCCCC"/>
                        </w:tcBorders>
                        <w:tcMar>
                          <w:top w:w="60" w:type="dxa"/>
                          <w:left w:w="0" w:type="dxa"/>
                          <w:bottom w:w="60" w:type="dxa"/>
                          <w:right w:w="0" w:type="dxa"/>
                        </w:tcMar>
                        <w:vAlign w:val="center"/>
                      </w:tcPr>
                      <w:p w14:paraId="62B97DC2" w14:textId="77777777" w:rsidR="00B16DFE" w:rsidRDefault="009F0859">
                        <w:pPr>
                          <w:keepNext/>
                          <w:keepLines/>
                          <w:spacing w:after="90" w:line="225" w:lineRule="atLeast"/>
                          <w:rPr>
                            <w:rFonts w:ascii="Arial" w:eastAsia="Arial" w:hAnsi="Arial" w:cs="Arial"/>
                            <w:sz w:val="16"/>
                            <w:szCs w:val="16"/>
                          </w:rPr>
                        </w:pPr>
                        <w:r>
                          <w:rPr>
                            <w:noProof/>
                          </w:rPr>
                          <w:drawing>
                            <wp:inline distT="0" distB="0" distL="0" distR="0" wp14:anchorId="2E24A670" wp14:editId="4F11F300">
                              <wp:extent cx="91440" cy="91440"/>
                              <wp:effectExtent l="0" t="0" r="0" b="0"/>
                              <wp:docPr id="111" name="Picture 111" descr="Bad"/>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74" cstate="print"/>
                                      <a:stretch>
                                        <a:fillRect/>
                                      </a:stretch>
                                    </pic:blipFill>
                                    <pic:spPr>
                                      <a:xfrm>
                                        <a:off x="0" y="0"/>
                                        <a:ext cx="91440" cy="91440"/>
                                      </a:xfrm>
                                      <a:prstGeom prst="rect">
                                        <a:avLst/>
                                      </a:prstGeom>
                                    </pic:spPr>
                                  </pic:pic>
                                </a:graphicData>
                              </a:graphic>
                            </wp:inline>
                          </w:drawing>
                        </w:r>
                        <w:r>
                          <w:rPr>
                            <w:rFonts w:ascii="Arial" w:eastAsia="Arial" w:hAnsi="Arial" w:cs="Arial"/>
                            <w:sz w:val="18"/>
                            <w:szCs w:val="18"/>
                          </w:rPr>
                          <w:t> </w:t>
                        </w:r>
                      </w:p>
                    </w:tc>
                  </w:tr>
                  <w:tr w:rsidR="00B16DFE" w14:paraId="342BBBE0" w14:textId="77777777">
                    <w:trPr>
                      <w:tblCellSpacing w:w="0" w:type="dxa"/>
                    </w:trPr>
                    <w:tc>
                      <w:tcPr>
                        <w:tcW w:w="3000" w:type="pct"/>
                        <w:tcBorders>
                          <w:bottom w:val="single" w:sz="6" w:space="0" w:color="CCCCCC"/>
                        </w:tcBorders>
                        <w:tcMar>
                          <w:top w:w="60" w:type="dxa"/>
                          <w:left w:w="0" w:type="dxa"/>
                          <w:bottom w:w="60" w:type="dxa"/>
                          <w:right w:w="0" w:type="dxa"/>
                        </w:tcMar>
                        <w:vAlign w:val="center"/>
                      </w:tcPr>
                      <w:p w14:paraId="6BA68651"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8"/>
                            <w:szCs w:val="18"/>
                          </w:rPr>
                          <w:t>Concentration</w:t>
                        </w:r>
                      </w:p>
                    </w:tc>
                    <w:tc>
                      <w:tcPr>
                        <w:tcW w:w="500" w:type="pct"/>
                        <w:tcBorders>
                          <w:bottom w:val="single" w:sz="6" w:space="0" w:color="CCCCCC"/>
                        </w:tcBorders>
                        <w:tcMar>
                          <w:top w:w="60" w:type="dxa"/>
                          <w:left w:w="0" w:type="dxa"/>
                          <w:bottom w:w="60" w:type="dxa"/>
                          <w:right w:w="60" w:type="dxa"/>
                        </w:tcMar>
                        <w:vAlign w:val="center"/>
                      </w:tcPr>
                      <w:p w14:paraId="6E7BCD22" w14:textId="77777777" w:rsidR="00B16DFE" w:rsidRDefault="009F0859">
                        <w:pPr>
                          <w:keepNext/>
                          <w:keepLines/>
                          <w:spacing w:after="0" w:line="225" w:lineRule="atLeast"/>
                          <w:jc w:val="right"/>
                          <w:rPr>
                            <w:rFonts w:ascii="Arial" w:eastAsia="Arial" w:hAnsi="Arial" w:cs="Arial"/>
                            <w:sz w:val="16"/>
                            <w:szCs w:val="16"/>
                          </w:rPr>
                        </w:pPr>
                        <w:r>
                          <w:rPr>
                            <w:rFonts w:ascii="Arial" w:eastAsia="Arial" w:hAnsi="Arial" w:cs="Arial"/>
                            <w:color w:val="086D06"/>
                            <w:sz w:val="18"/>
                            <w:szCs w:val="18"/>
                          </w:rPr>
                          <w:t>Low</w:t>
                        </w:r>
                      </w:p>
                    </w:tc>
                    <w:tc>
                      <w:tcPr>
                        <w:tcW w:w="250" w:type="pct"/>
                        <w:tcBorders>
                          <w:bottom w:val="single" w:sz="6" w:space="0" w:color="CCCCCC"/>
                        </w:tcBorders>
                        <w:tcMar>
                          <w:top w:w="60" w:type="dxa"/>
                          <w:left w:w="0" w:type="dxa"/>
                          <w:bottom w:w="60" w:type="dxa"/>
                          <w:right w:w="0" w:type="dxa"/>
                        </w:tcMar>
                        <w:vAlign w:val="center"/>
                      </w:tcPr>
                      <w:p w14:paraId="1E797289" w14:textId="77777777" w:rsidR="00B16DFE" w:rsidRDefault="009F0859">
                        <w:pPr>
                          <w:keepNext/>
                          <w:keepLines/>
                          <w:spacing w:after="90" w:line="225" w:lineRule="atLeast"/>
                          <w:rPr>
                            <w:rFonts w:ascii="Arial" w:eastAsia="Arial" w:hAnsi="Arial" w:cs="Arial"/>
                            <w:sz w:val="16"/>
                            <w:szCs w:val="16"/>
                          </w:rPr>
                        </w:pPr>
                        <w:r>
                          <w:rPr>
                            <w:noProof/>
                          </w:rPr>
                          <w:drawing>
                            <wp:inline distT="0" distB="0" distL="0" distR="0" wp14:anchorId="7EA41872" wp14:editId="784AB842">
                              <wp:extent cx="91440" cy="91440"/>
                              <wp:effectExtent l="0" t="0" r="0" b="0"/>
                              <wp:docPr id="113" name="Picture 113" descr="Good"/>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58" cstate="print"/>
                                      <a:stretch>
                                        <a:fillRect/>
                                      </a:stretch>
                                    </pic:blipFill>
                                    <pic:spPr>
                                      <a:xfrm>
                                        <a:off x="0" y="0"/>
                                        <a:ext cx="91440" cy="91440"/>
                                      </a:xfrm>
                                      <a:prstGeom prst="rect">
                                        <a:avLst/>
                                      </a:prstGeom>
                                    </pic:spPr>
                                  </pic:pic>
                                </a:graphicData>
                              </a:graphic>
                            </wp:inline>
                          </w:drawing>
                        </w:r>
                        <w:r>
                          <w:rPr>
                            <w:rFonts w:ascii="Arial" w:eastAsia="Arial" w:hAnsi="Arial" w:cs="Arial"/>
                            <w:sz w:val="18"/>
                            <w:szCs w:val="18"/>
                          </w:rPr>
                          <w:t> </w:t>
                        </w:r>
                      </w:p>
                    </w:tc>
                  </w:tr>
                  <w:tr w:rsidR="00B16DFE" w14:paraId="4890A191" w14:textId="77777777">
                    <w:trPr>
                      <w:tblCellSpacing w:w="0" w:type="dxa"/>
                    </w:trPr>
                    <w:tc>
                      <w:tcPr>
                        <w:tcW w:w="3000" w:type="pct"/>
                        <w:tcBorders>
                          <w:bottom w:val="single" w:sz="6" w:space="0" w:color="CCCCCC"/>
                        </w:tcBorders>
                        <w:tcMar>
                          <w:top w:w="60" w:type="dxa"/>
                          <w:left w:w="0" w:type="dxa"/>
                          <w:bottom w:w="60" w:type="dxa"/>
                          <w:right w:w="0" w:type="dxa"/>
                        </w:tcMar>
                        <w:vAlign w:val="center"/>
                      </w:tcPr>
                      <w:p w14:paraId="0CD34C81"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8"/>
                            <w:szCs w:val="18"/>
                          </w:rPr>
                          <w:t>Life Cycle Stage</w:t>
                        </w:r>
                      </w:p>
                    </w:tc>
                    <w:tc>
                      <w:tcPr>
                        <w:tcW w:w="500" w:type="pct"/>
                        <w:tcBorders>
                          <w:bottom w:val="single" w:sz="6" w:space="0" w:color="CCCCCC"/>
                        </w:tcBorders>
                        <w:tcMar>
                          <w:top w:w="60" w:type="dxa"/>
                          <w:left w:w="0" w:type="dxa"/>
                          <w:bottom w:w="60" w:type="dxa"/>
                          <w:right w:w="60" w:type="dxa"/>
                        </w:tcMar>
                        <w:vAlign w:val="center"/>
                      </w:tcPr>
                      <w:p w14:paraId="212AB952" w14:textId="77777777" w:rsidR="00B16DFE" w:rsidRDefault="009F0859">
                        <w:pPr>
                          <w:keepNext/>
                          <w:keepLines/>
                          <w:spacing w:after="0" w:line="225" w:lineRule="atLeast"/>
                          <w:jc w:val="right"/>
                          <w:rPr>
                            <w:rFonts w:ascii="Arial" w:eastAsia="Arial" w:hAnsi="Arial" w:cs="Arial"/>
                            <w:sz w:val="16"/>
                            <w:szCs w:val="16"/>
                          </w:rPr>
                        </w:pPr>
                        <w:r>
                          <w:rPr>
                            <w:rFonts w:ascii="Arial" w:eastAsia="Arial" w:hAnsi="Arial" w:cs="Arial"/>
                            <w:color w:val="F58232"/>
                            <w:sz w:val="18"/>
                            <w:szCs w:val="18"/>
                          </w:rPr>
                          <w:t>Mature</w:t>
                        </w:r>
                      </w:p>
                    </w:tc>
                    <w:tc>
                      <w:tcPr>
                        <w:tcW w:w="250" w:type="pct"/>
                        <w:tcBorders>
                          <w:bottom w:val="single" w:sz="6" w:space="0" w:color="CCCCCC"/>
                        </w:tcBorders>
                        <w:tcMar>
                          <w:top w:w="60" w:type="dxa"/>
                          <w:left w:w="0" w:type="dxa"/>
                          <w:bottom w:w="60" w:type="dxa"/>
                          <w:right w:w="0" w:type="dxa"/>
                        </w:tcMar>
                        <w:vAlign w:val="center"/>
                      </w:tcPr>
                      <w:p w14:paraId="7F144B10" w14:textId="77777777" w:rsidR="00B16DFE" w:rsidRDefault="009F0859">
                        <w:pPr>
                          <w:keepNext/>
                          <w:keepLines/>
                          <w:spacing w:after="90" w:line="225" w:lineRule="atLeast"/>
                          <w:rPr>
                            <w:rFonts w:ascii="Arial" w:eastAsia="Arial" w:hAnsi="Arial" w:cs="Arial"/>
                            <w:sz w:val="16"/>
                            <w:szCs w:val="16"/>
                          </w:rPr>
                        </w:pPr>
                        <w:r>
                          <w:rPr>
                            <w:noProof/>
                          </w:rPr>
                          <w:drawing>
                            <wp:inline distT="0" distB="0" distL="0" distR="0" wp14:anchorId="658BBD13" wp14:editId="3CE180E8">
                              <wp:extent cx="91440" cy="91440"/>
                              <wp:effectExtent l="0" t="0" r="0" b="0"/>
                              <wp:docPr id="115" name="Picture 115" descr="Neutral"/>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52" cstate="print"/>
                                      <a:stretch>
                                        <a:fillRect/>
                                      </a:stretch>
                                    </pic:blipFill>
                                    <pic:spPr>
                                      <a:xfrm>
                                        <a:off x="0" y="0"/>
                                        <a:ext cx="91440" cy="91440"/>
                                      </a:xfrm>
                                      <a:prstGeom prst="rect">
                                        <a:avLst/>
                                      </a:prstGeom>
                                    </pic:spPr>
                                  </pic:pic>
                                </a:graphicData>
                              </a:graphic>
                            </wp:inline>
                          </w:drawing>
                        </w:r>
                        <w:r>
                          <w:rPr>
                            <w:rFonts w:ascii="Arial" w:eastAsia="Arial" w:hAnsi="Arial" w:cs="Arial"/>
                            <w:sz w:val="18"/>
                            <w:szCs w:val="18"/>
                          </w:rPr>
                          <w:t> </w:t>
                        </w:r>
                      </w:p>
                    </w:tc>
                  </w:tr>
                  <w:tr w:rsidR="00B16DFE" w14:paraId="65B54044" w14:textId="77777777">
                    <w:trPr>
                      <w:tblCellSpacing w:w="0" w:type="dxa"/>
                    </w:trPr>
                    <w:tc>
                      <w:tcPr>
                        <w:tcW w:w="3000" w:type="pct"/>
                        <w:tcBorders>
                          <w:bottom w:val="single" w:sz="6" w:space="0" w:color="CCCCCC"/>
                        </w:tcBorders>
                        <w:tcMar>
                          <w:top w:w="60" w:type="dxa"/>
                          <w:left w:w="0" w:type="dxa"/>
                          <w:bottom w:w="60" w:type="dxa"/>
                          <w:right w:w="0" w:type="dxa"/>
                        </w:tcMar>
                        <w:vAlign w:val="center"/>
                      </w:tcPr>
                      <w:p w14:paraId="6F932225"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8"/>
                            <w:szCs w:val="18"/>
                          </w:rPr>
                          <w:t>Technology Change</w:t>
                        </w:r>
                      </w:p>
                    </w:tc>
                    <w:tc>
                      <w:tcPr>
                        <w:tcW w:w="500" w:type="pct"/>
                        <w:tcBorders>
                          <w:bottom w:val="single" w:sz="6" w:space="0" w:color="CCCCCC"/>
                        </w:tcBorders>
                        <w:tcMar>
                          <w:top w:w="60" w:type="dxa"/>
                          <w:left w:w="0" w:type="dxa"/>
                          <w:bottom w:w="60" w:type="dxa"/>
                          <w:right w:w="60" w:type="dxa"/>
                        </w:tcMar>
                        <w:vAlign w:val="center"/>
                      </w:tcPr>
                      <w:p w14:paraId="7A91E9E9" w14:textId="77777777" w:rsidR="00B16DFE" w:rsidRDefault="009F0859">
                        <w:pPr>
                          <w:keepNext/>
                          <w:keepLines/>
                          <w:spacing w:after="0" w:line="225" w:lineRule="atLeast"/>
                          <w:jc w:val="right"/>
                          <w:rPr>
                            <w:rFonts w:ascii="Arial" w:eastAsia="Arial" w:hAnsi="Arial" w:cs="Arial"/>
                            <w:sz w:val="16"/>
                            <w:szCs w:val="16"/>
                          </w:rPr>
                        </w:pPr>
                        <w:r>
                          <w:rPr>
                            <w:rFonts w:ascii="Arial" w:eastAsia="Arial" w:hAnsi="Arial" w:cs="Arial"/>
                            <w:color w:val="F58232"/>
                            <w:sz w:val="18"/>
                            <w:szCs w:val="18"/>
                          </w:rPr>
                          <w:t>Medium</w:t>
                        </w:r>
                      </w:p>
                    </w:tc>
                    <w:tc>
                      <w:tcPr>
                        <w:tcW w:w="250" w:type="pct"/>
                        <w:tcBorders>
                          <w:bottom w:val="single" w:sz="6" w:space="0" w:color="CCCCCC"/>
                        </w:tcBorders>
                        <w:tcMar>
                          <w:top w:w="60" w:type="dxa"/>
                          <w:left w:w="0" w:type="dxa"/>
                          <w:bottom w:w="60" w:type="dxa"/>
                          <w:right w:w="0" w:type="dxa"/>
                        </w:tcMar>
                        <w:vAlign w:val="center"/>
                      </w:tcPr>
                      <w:p w14:paraId="4AC7953E" w14:textId="77777777" w:rsidR="00B16DFE" w:rsidRDefault="009F0859">
                        <w:pPr>
                          <w:keepNext/>
                          <w:keepLines/>
                          <w:spacing w:after="90" w:line="225" w:lineRule="atLeast"/>
                          <w:rPr>
                            <w:rFonts w:ascii="Arial" w:eastAsia="Arial" w:hAnsi="Arial" w:cs="Arial"/>
                            <w:sz w:val="16"/>
                            <w:szCs w:val="16"/>
                          </w:rPr>
                        </w:pPr>
                        <w:r>
                          <w:rPr>
                            <w:noProof/>
                          </w:rPr>
                          <w:drawing>
                            <wp:inline distT="0" distB="0" distL="0" distR="0" wp14:anchorId="321B198D" wp14:editId="54B004D2">
                              <wp:extent cx="91440" cy="91440"/>
                              <wp:effectExtent l="0" t="0" r="0" b="0"/>
                              <wp:docPr id="117" name="Picture 117" descr="Neutral"/>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52" cstate="print"/>
                                      <a:stretch>
                                        <a:fillRect/>
                                      </a:stretch>
                                    </pic:blipFill>
                                    <pic:spPr>
                                      <a:xfrm>
                                        <a:off x="0" y="0"/>
                                        <a:ext cx="91440" cy="91440"/>
                                      </a:xfrm>
                                      <a:prstGeom prst="rect">
                                        <a:avLst/>
                                      </a:prstGeom>
                                    </pic:spPr>
                                  </pic:pic>
                                </a:graphicData>
                              </a:graphic>
                            </wp:inline>
                          </w:drawing>
                        </w:r>
                        <w:r>
                          <w:rPr>
                            <w:rFonts w:ascii="Arial" w:eastAsia="Arial" w:hAnsi="Arial" w:cs="Arial"/>
                            <w:sz w:val="18"/>
                            <w:szCs w:val="18"/>
                          </w:rPr>
                          <w:t> </w:t>
                        </w:r>
                      </w:p>
                    </w:tc>
                  </w:tr>
                  <w:tr w:rsidR="00B16DFE" w14:paraId="67A40567" w14:textId="77777777">
                    <w:trPr>
                      <w:tblCellSpacing w:w="0" w:type="dxa"/>
                    </w:trPr>
                    <w:tc>
                      <w:tcPr>
                        <w:tcW w:w="3000" w:type="pct"/>
                        <w:tcBorders>
                          <w:bottom w:val="single" w:sz="6" w:space="0" w:color="CCCCCC"/>
                        </w:tcBorders>
                        <w:tcMar>
                          <w:top w:w="60" w:type="dxa"/>
                          <w:left w:w="0" w:type="dxa"/>
                          <w:bottom w:w="60" w:type="dxa"/>
                          <w:right w:w="0" w:type="dxa"/>
                        </w:tcMar>
                        <w:vAlign w:val="center"/>
                      </w:tcPr>
                      <w:p w14:paraId="756F5B40"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8"/>
                            <w:szCs w:val="18"/>
                          </w:rPr>
                          <w:t>Regulation &amp; Policy</w:t>
                        </w:r>
                      </w:p>
                    </w:tc>
                    <w:tc>
                      <w:tcPr>
                        <w:tcW w:w="500" w:type="pct"/>
                        <w:tcBorders>
                          <w:bottom w:val="single" w:sz="6" w:space="0" w:color="CCCCCC"/>
                        </w:tcBorders>
                        <w:tcMar>
                          <w:top w:w="60" w:type="dxa"/>
                          <w:left w:w="0" w:type="dxa"/>
                          <w:bottom w:w="60" w:type="dxa"/>
                          <w:right w:w="60" w:type="dxa"/>
                        </w:tcMar>
                        <w:vAlign w:val="center"/>
                      </w:tcPr>
                      <w:p w14:paraId="4C0C8B54" w14:textId="77777777" w:rsidR="00B16DFE" w:rsidRDefault="009F0859">
                        <w:pPr>
                          <w:keepNext/>
                          <w:keepLines/>
                          <w:spacing w:after="0" w:line="225" w:lineRule="atLeast"/>
                          <w:jc w:val="right"/>
                          <w:rPr>
                            <w:rFonts w:ascii="Arial" w:eastAsia="Arial" w:hAnsi="Arial" w:cs="Arial"/>
                            <w:sz w:val="16"/>
                            <w:szCs w:val="16"/>
                          </w:rPr>
                        </w:pPr>
                        <w:r>
                          <w:rPr>
                            <w:rFonts w:ascii="Arial" w:eastAsia="Arial" w:hAnsi="Arial" w:cs="Arial"/>
                            <w:color w:val="F58232"/>
                            <w:sz w:val="18"/>
                            <w:szCs w:val="18"/>
                          </w:rPr>
                          <w:t>Medium</w:t>
                        </w:r>
                      </w:p>
                    </w:tc>
                    <w:tc>
                      <w:tcPr>
                        <w:tcW w:w="250" w:type="pct"/>
                        <w:tcBorders>
                          <w:bottom w:val="single" w:sz="6" w:space="0" w:color="CCCCCC"/>
                        </w:tcBorders>
                        <w:tcMar>
                          <w:top w:w="60" w:type="dxa"/>
                          <w:left w:w="0" w:type="dxa"/>
                          <w:bottom w:w="60" w:type="dxa"/>
                          <w:right w:w="0" w:type="dxa"/>
                        </w:tcMar>
                        <w:vAlign w:val="center"/>
                      </w:tcPr>
                      <w:p w14:paraId="1849F0B5" w14:textId="77777777" w:rsidR="00B16DFE" w:rsidRDefault="009F0859">
                        <w:pPr>
                          <w:keepNext/>
                          <w:keepLines/>
                          <w:spacing w:after="90" w:line="225" w:lineRule="atLeast"/>
                          <w:rPr>
                            <w:rFonts w:ascii="Arial" w:eastAsia="Arial" w:hAnsi="Arial" w:cs="Arial"/>
                            <w:sz w:val="16"/>
                            <w:szCs w:val="16"/>
                          </w:rPr>
                        </w:pPr>
                        <w:r>
                          <w:rPr>
                            <w:noProof/>
                          </w:rPr>
                          <w:drawing>
                            <wp:inline distT="0" distB="0" distL="0" distR="0" wp14:anchorId="7FB5DAE1" wp14:editId="7E9AEDD5">
                              <wp:extent cx="91440" cy="91440"/>
                              <wp:effectExtent l="0" t="0" r="0" b="0"/>
                              <wp:docPr id="119" name="Picture 119" descr="Neutral"/>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52" cstate="print"/>
                                      <a:stretch>
                                        <a:fillRect/>
                                      </a:stretch>
                                    </pic:blipFill>
                                    <pic:spPr>
                                      <a:xfrm>
                                        <a:off x="0" y="0"/>
                                        <a:ext cx="91440" cy="91440"/>
                                      </a:xfrm>
                                      <a:prstGeom prst="rect">
                                        <a:avLst/>
                                      </a:prstGeom>
                                    </pic:spPr>
                                  </pic:pic>
                                </a:graphicData>
                              </a:graphic>
                            </wp:inline>
                          </w:drawing>
                        </w:r>
                        <w:r>
                          <w:rPr>
                            <w:rFonts w:ascii="Arial" w:eastAsia="Arial" w:hAnsi="Arial" w:cs="Arial"/>
                            <w:sz w:val="18"/>
                            <w:szCs w:val="18"/>
                          </w:rPr>
                          <w:t> </w:t>
                        </w:r>
                      </w:p>
                    </w:tc>
                  </w:tr>
                  <w:tr w:rsidR="00B16DFE" w14:paraId="07A01492" w14:textId="77777777">
                    <w:trPr>
                      <w:tblCellSpacing w:w="0" w:type="dxa"/>
                    </w:trPr>
                    <w:tc>
                      <w:tcPr>
                        <w:tcW w:w="3000" w:type="pct"/>
                        <w:tcBorders>
                          <w:bottom w:val="single" w:sz="6" w:space="0" w:color="CCCCCC"/>
                        </w:tcBorders>
                        <w:tcMar>
                          <w:top w:w="60" w:type="dxa"/>
                          <w:left w:w="0" w:type="dxa"/>
                          <w:bottom w:w="60" w:type="dxa"/>
                          <w:right w:w="0" w:type="dxa"/>
                        </w:tcMar>
                        <w:vAlign w:val="center"/>
                      </w:tcPr>
                      <w:p w14:paraId="1A701C5C"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8"/>
                            <w:szCs w:val="18"/>
                          </w:rPr>
                          <w:t>Industry Assistance</w:t>
                        </w:r>
                      </w:p>
                    </w:tc>
                    <w:tc>
                      <w:tcPr>
                        <w:tcW w:w="500" w:type="pct"/>
                        <w:tcBorders>
                          <w:bottom w:val="single" w:sz="6" w:space="0" w:color="CCCCCC"/>
                        </w:tcBorders>
                        <w:tcMar>
                          <w:top w:w="60" w:type="dxa"/>
                          <w:left w:w="0" w:type="dxa"/>
                          <w:bottom w:w="60" w:type="dxa"/>
                          <w:right w:w="60" w:type="dxa"/>
                        </w:tcMar>
                        <w:vAlign w:val="center"/>
                      </w:tcPr>
                      <w:p w14:paraId="59FCA407" w14:textId="77777777" w:rsidR="00B16DFE" w:rsidRDefault="009F0859">
                        <w:pPr>
                          <w:keepNext/>
                          <w:keepLines/>
                          <w:spacing w:after="0" w:line="225" w:lineRule="atLeast"/>
                          <w:jc w:val="right"/>
                          <w:rPr>
                            <w:rFonts w:ascii="Arial" w:eastAsia="Arial" w:hAnsi="Arial" w:cs="Arial"/>
                            <w:sz w:val="16"/>
                            <w:szCs w:val="16"/>
                          </w:rPr>
                        </w:pPr>
                        <w:r>
                          <w:rPr>
                            <w:rFonts w:ascii="Arial" w:eastAsia="Arial" w:hAnsi="Arial" w:cs="Arial"/>
                            <w:color w:val="DB1F2C"/>
                            <w:sz w:val="18"/>
                            <w:szCs w:val="18"/>
                          </w:rPr>
                          <w:t>Low</w:t>
                        </w:r>
                      </w:p>
                    </w:tc>
                    <w:tc>
                      <w:tcPr>
                        <w:tcW w:w="250" w:type="pct"/>
                        <w:tcBorders>
                          <w:bottom w:val="single" w:sz="6" w:space="0" w:color="CCCCCC"/>
                        </w:tcBorders>
                        <w:tcMar>
                          <w:top w:w="60" w:type="dxa"/>
                          <w:left w:w="0" w:type="dxa"/>
                          <w:bottom w:w="60" w:type="dxa"/>
                          <w:right w:w="0" w:type="dxa"/>
                        </w:tcMar>
                        <w:vAlign w:val="center"/>
                      </w:tcPr>
                      <w:p w14:paraId="4C2D79A2" w14:textId="77777777" w:rsidR="00B16DFE" w:rsidRDefault="009F0859">
                        <w:pPr>
                          <w:keepNext/>
                          <w:keepLines/>
                          <w:spacing w:after="90" w:line="225" w:lineRule="atLeast"/>
                          <w:rPr>
                            <w:rFonts w:ascii="Arial" w:eastAsia="Arial" w:hAnsi="Arial" w:cs="Arial"/>
                            <w:sz w:val="16"/>
                            <w:szCs w:val="16"/>
                          </w:rPr>
                        </w:pPr>
                        <w:r>
                          <w:rPr>
                            <w:noProof/>
                          </w:rPr>
                          <w:drawing>
                            <wp:inline distT="0" distB="0" distL="0" distR="0" wp14:anchorId="18A30D93" wp14:editId="424C8A5B">
                              <wp:extent cx="91440" cy="91440"/>
                              <wp:effectExtent l="0" t="0" r="0" b="0"/>
                              <wp:docPr id="121" name="Picture 121" descr="Bad"/>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74" cstate="print"/>
                                      <a:stretch>
                                        <a:fillRect/>
                                      </a:stretch>
                                    </pic:blipFill>
                                    <pic:spPr>
                                      <a:xfrm>
                                        <a:off x="0" y="0"/>
                                        <a:ext cx="91440" cy="91440"/>
                                      </a:xfrm>
                                      <a:prstGeom prst="rect">
                                        <a:avLst/>
                                      </a:prstGeom>
                                    </pic:spPr>
                                  </pic:pic>
                                </a:graphicData>
                              </a:graphic>
                            </wp:inline>
                          </w:drawing>
                        </w:r>
                        <w:r>
                          <w:rPr>
                            <w:rFonts w:ascii="Arial" w:eastAsia="Arial" w:hAnsi="Arial" w:cs="Arial"/>
                            <w:sz w:val="18"/>
                            <w:szCs w:val="18"/>
                          </w:rPr>
                          <w:t> </w:t>
                        </w:r>
                      </w:p>
                    </w:tc>
                  </w:tr>
                </w:tbl>
                <w:p w14:paraId="2341DAEA" w14:textId="77777777" w:rsidR="00B16DFE" w:rsidRDefault="00B16DFE"/>
              </w:tc>
            </w:tr>
          </w:tbl>
          <w:p w14:paraId="08AA3D05" w14:textId="77777777" w:rsidR="00B16DFE" w:rsidRDefault="00B16DFE"/>
        </w:tc>
      </w:tr>
      <w:tr w:rsidR="00B16DFE" w14:paraId="16D2B437" w14:textId="77777777">
        <w:tc>
          <w:tcPr>
            <w:tcW w:w="4000" w:type="pct"/>
            <w:gridSpan w:val="2"/>
          </w:tcPr>
          <w:p w14:paraId="6DCE1A45" w14:textId="77777777" w:rsidR="00B16DFE" w:rsidRDefault="00B16DFE">
            <w:pPr>
              <w:keepNext/>
              <w:keepLines/>
              <w:spacing w:after="0" w:line="225" w:lineRule="atLeast"/>
              <w:rPr>
                <w:rFonts w:ascii="Arial" w:eastAsia="Arial" w:hAnsi="Arial" w:cs="Arial"/>
                <w:sz w:val="16"/>
                <w:szCs w:val="16"/>
              </w:rPr>
            </w:pPr>
          </w:p>
        </w:tc>
      </w:tr>
      <w:tr w:rsidR="00B16DFE" w14:paraId="5330DCC0" w14:textId="77777777">
        <w:tc>
          <w:tcPr>
            <w:tcW w:w="1000" w:type="pct"/>
          </w:tcPr>
          <w:p w14:paraId="2C58723B" w14:textId="77777777" w:rsidR="00B16DFE" w:rsidRDefault="009F0859">
            <w:pPr>
              <w:pStyle w:val="Heading2"/>
              <w:spacing w:before="0" w:line="270" w:lineRule="atLeast"/>
              <w:rPr>
                <w:rFonts w:ascii="Arial" w:eastAsia="Arial" w:hAnsi="Arial" w:cs="Arial"/>
                <w:color w:val="333333"/>
                <w:spacing w:val="4"/>
                <w:sz w:val="21"/>
                <w:szCs w:val="21"/>
              </w:rPr>
            </w:pPr>
            <w:bookmarkStart w:id="25" w:name="_Toc26"/>
            <w:r>
              <w:rPr>
                <w:rFonts w:ascii="Arial" w:eastAsia="Arial" w:hAnsi="Arial" w:cs="Arial"/>
                <w:color w:val="333333"/>
                <w:spacing w:val="4"/>
                <w:sz w:val="21"/>
                <w:szCs w:val="21"/>
              </w:rPr>
              <w:t>Industry Globalization</w:t>
            </w:r>
            <w:bookmarkEnd w:id="25"/>
          </w:p>
        </w:tc>
        <w:tc>
          <w:tcPr>
            <w:tcW w:w="4000" w:type="pct"/>
          </w:tcPr>
          <w:p w14:paraId="58230983" w14:textId="77777777" w:rsidR="00B16DFE" w:rsidRDefault="009F0859">
            <w:pPr>
              <w:keepNext/>
              <w:keepLines/>
              <w:spacing w:after="120" w:line="240" w:lineRule="atLeast"/>
              <w:rPr>
                <w:rFonts w:ascii="Arial" w:eastAsia="Arial" w:hAnsi="Arial" w:cs="Arial"/>
                <w:sz w:val="16"/>
                <w:szCs w:val="16"/>
              </w:rPr>
            </w:pPr>
            <w:r>
              <w:rPr>
                <w:rFonts w:ascii="Arial" w:eastAsia="Arial" w:hAnsi="Arial" w:cs="Arial"/>
                <w:b/>
                <w:bCs/>
                <w:sz w:val="18"/>
                <w:szCs w:val="18"/>
              </w:rPr>
              <w:t>Globalization in this industry is </w:t>
            </w:r>
            <w:r>
              <w:rPr>
                <w:rFonts w:ascii="Arial" w:eastAsia="Arial" w:hAnsi="Arial" w:cs="Arial"/>
                <w:sz w:val="16"/>
                <w:szCs w:val="16"/>
              </w:rPr>
              <w:t xml:space="preserve"> </w:t>
            </w:r>
            <w:r>
              <w:rPr>
                <w:noProof/>
              </w:rPr>
              <w:drawing>
                <wp:inline distT="0" distB="0" distL="0" distR="0" wp14:anchorId="0D64A99E" wp14:editId="69CBBCBB">
                  <wp:extent cx="91440" cy="91440"/>
                  <wp:effectExtent l="0" t="0" r="0" b="0"/>
                  <wp:docPr id="123" name="Picture 123" descr="Bad"/>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74"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DB1F2C"/>
                <w:sz w:val="18"/>
                <w:szCs w:val="18"/>
              </w:rPr>
              <w:t xml:space="preserve">High </w:t>
            </w:r>
            <w:r>
              <w:rPr>
                <w:rFonts w:ascii="Arial" w:eastAsia="Arial" w:hAnsi="Arial" w:cs="Arial"/>
                <w:b/>
                <w:bCs/>
                <w:sz w:val="18"/>
                <w:szCs w:val="18"/>
              </w:rPr>
              <w:t>and the trend is Steady</w:t>
            </w:r>
          </w:p>
        </w:tc>
      </w:tr>
      <w:tr w:rsidR="00B16DFE" w14:paraId="4E91AD79" w14:textId="77777777">
        <w:tc>
          <w:tcPr>
            <w:tcW w:w="1000" w:type="pct"/>
          </w:tcPr>
          <w:p w14:paraId="14919CC0"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313733EA"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The industry is characterised by a high level of globalisation due to the nature of its dealings with international travel and transport. Global </w:t>
            </w:r>
            <w:r>
              <w:rPr>
                <w:rFonts w:ascii="Arial" w:eastAsia="Arial" w:hAnsi="Arial" w:cs="Arial"/>
                <w:sz w:val="16"/>
                <w:szCs w:val="16"/>
              </w:rPr>
              <w:t xml:space="preserve">distribution systems link vendors and booking agents to ensure travel related services are reliably provided to consumers. The significance of online travel agents in the industry, which are more easily accessible to potential international visitors, also </w:t>
            </w:r>
            <w:r>
              <w:rPr>
                <w:rFonts w:ascii="Arial" w:eastAsia="Arial" w:hAnsi="Arial" w:cs="Arial"/>
                <w:sz w:val="16"/>
                <w:szCs w:val="16"/>
              </w:rPr>
              <w:t>increases the global nature of the UK industry's services.</w:t>
            </w:r>
          </w:p>
          <w:p w14:paraId="2DCF5A65"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Following the UK's decision to leave the European Union, the value of the pound fell to historically low levels. This is expected to have led to an increase in inbound tourism as those from oversea</w:t>
            </w:r>
            <w:r>
              <w:rPr>
                <w:rFonts w:ascii="Arial" w:eastAsia="Arial" w:hAnsi="Arial" w:cs="Arial"/>
                <w:sz w:val="16"/>
                <w:szCs w:val="16"/>
              </w:rPr>
              <w:t xml:space="preserve">s are incentivised to take advantage of </w:t>
            </w:r>
            <w:r>
              <w:rPr>
                <w:rFonts w:ascii="Arial" w:eastAsia="Arial" w:hAnsi="Arial" w:cs="Arial"/>
                <w:sz w:val="16"/>
                <w:szCs w:val="16"/>
              </w:rPr>
              <w:lastRenderedPageBreak/>
              <w:t>the exchange rate. ONS data indicates that in April 2017 inbound tourism was 19% higher than the same month a year earlier, before the EU referendum. In addition, spending by foreign tourists in the UK also increased</w:t>
            </w:r>
            <w:r>
              <w:rPr>
                <w:rFonts w:ascii="Arial" w:eastAsia="Arial" w:hAnsi="Arial" w:cs="Arial"/>
                <w:sz w:val="16"/>
                <w:szCs w:val="16"/>
              </w:rPr>
              <w:t xml:space="preserve"> as those from overseas have been incentivised to take advantage of the exchange rate. Conversely, the number of overseas visits by UK residents rose by only 2%, but their spending fell by 1% to £3.5 billion, as the low value of the pound has increased ove</w:t>
            </w:r>
            <w:r>
              <w:rPr>
                <w:rFonts w:ascii="Arial" w:eastAsia="Arial" w:hAnsi="Arial" w:cs="Arial"/>
                <w:sz w:val="16"/>
                <w:szCs w:val="16"/>
              </w:rPr>
              <w:t>rseas expenses for British tourists. The continued low value of the pound has meant inbound tourism is still rising, with 9% more visits in December 2018 than in December 2017. This rose to 1% more in July 2019 compared to July 2018. The number of visits o</w:t>
            </w:r>
            <w:r>
              <w:rPr>
                <w:rFonts w:ascii="Arial" w:eastAsia="Arial" w:hAnsi="Arial" w:cs="Arial"/>
                <w:sz w:val="16"/>
                <w:szCs w:val="16"/>
              </w:rPr>
              <w:t>verseas by UK residents was 2% less in July 2019 than in the previous year.</w:t>
            </w:r>
          </w:p>
          <w:p w14:paraId="06CBABFD"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The industry is expected to see a decline in international visitors in the current year following the outbreak of the coronavirus as consumers postpone or cancel holidays, and airl</w:t>
            </w:r>
            <w:r>
              <w:rPr>
                <w:rFonts w:ascii="Arial" w:eastAsia="Arial" w:hAnsi="Arial" w:cs="Arial"/>
                <w:sz w:val="16"/>
                <w:szCs w:val="16"/>
              </w:rPr>
              <w:t>ines impose travel restrictions from those abroad.</w:t>
            </w:r>
          </w:p>
        </w:tc>
      </w:tr>
    </w:tbl>
    <w:p w14:paraId="45B8ED5F" w14:textId="77777777" w:rsidR="00B16DFE" w:rsidRDefault="00B16DFE">
      <w:pPr>
        <w:sectPr w:rsidR="00B16DFE">
          <w:headerReference w:type="default" r:id="rId75"/>
          <w:footerReference w:type="default" r:id="rId76"/>
          <w:pgSz w:w="11907" w:h="16839" w:code="9"/>
          <w:pgMar w:top="640" w:right="640" w:bottom="640" w:left="640" w:header="0" w:footer="0" w:gutter="0"/>
          <w:cols w:space="708"/>
          <w:docGrid w:linePitch="360"/>
        </w:sectPr>
      </w:pPr>
    </w:p>
    <w:p w14:paraId="62773D5C" w14:textId="77777777" w:rsidR="00B16DFE" w:rsidRDefault="009F0859">
      <w:pPr>
        <w:pStyle w:val="Heading1"/>
        <w:spacing w:before="0" w:after="240" w:line="420" w:lineRule="atLeast"/>
        <w:rPr>
          <w:rFonts w:ascii="Arial" w:eastAsia="Arial" w:hAnsi="Arial" w:cs="Arial"/>
          <w:b w:val="0"/>
          <w:bCs w:val="0"/>
          <w:color w:val="333333"/>
          <w:sz w:val="36"/>
          <w:szCs w:val="36"/>
        </w:rPr>
      </w:pPr>
      <w:bookmarkStart w:id="26" w:name="_Toc27"/>
      <w:r>
        <w:rPr>
          <w:rFonts w:ascii="Arial" w:eastAsia="Arial" w:hAnsi="Arial" w:cs="Arial"/>
          <w:b w:val="0"/>
          <w:bCs w:val="0"/>
          <w:color w:val="333333"/>
          <w:sz w:val="36"/>
          <w:szCs w:val="36"/>
        </w:rPr>
        <w:lastRenderedPageBreak/>
        <w:t>Major Companies</w:t>
      </w:r>
      <w:bookmarkEnd w:id="26"/>
    </w:p>
    <w:tbl>
      <w:tblPr>
        <w:tblW w:w="5000" w:type="pct"/>
        <w:tblBorders>
          <w:top w:val="nil"/>
          <w:left w:val="nil"/>
          <w:bottom w:val="nil"/>
          <w:right w:val="nil"/>
          <w:insideH w:val="nil"/>
          <w:insideV w:val="nil"/>
        </w:tblBorders>
        <w:tblLook w:val="04A0" w:firstRow="1" w:lastRow="0" w:firstColumn="1" w:lastColumn="0" w:noHBand="0" w:noVBand="1"/>
      </w:tblPr>
      <w:tblGrid>
        <w:gridCol w:w="10843"/>
      </w:tblGrid>
      <w:tr w:rsidR="00B16DFE" w14:paraId="46F38618" w14:textId="77777777">
        <w:tc>
          <w:tcPr>
            <w:tcW w:w="4000" w:type="pct"/>
          </w:tcPr>
          <w:p w14:paraId="1379E930"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481443D3" wp14:editId="4C7AD316">
                  <wp:extent cx="6667500" cy="3367424"/>
                  <wp:effectExtent l="0" t="0" r="0" b="0"/>
                  <wp:docPr id="125" name="Picture 125"/>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77" cstate="print"/>
                          <a:stretch>
                            <a:fillRect/>
                          </a:stretch>
                        </pic:blipFill>
                        <pic:spPr>
                          <a:xfrm>
                            <a:off x="0" y="0"/>
                            <a:ext cx="6667500" cy="3367424"/>
                          </a:xfrm>
                          <a:prstGeom prst="rect">
                            <a:avLst/>
                          </a:prstGeom>
                        </pic:spPr>
                      </pic:pic>
                    </a:graphicData>
                  </a:graphic>
                </wp:inline>
              </w:drawing>
            </w:r>
          </w:p>
        </w:tc>
      </w:tr>
    </w:tbl>
    <w:p w14:paraId="076C0E47" w14:textId="77777777" w:rsidR="00B16DFE" w:rsidRDefault="00B16DFE">
      <w:pPr>
        <w:spacing w:after="0"/>
        <w:rPr>
          <w:vanish/>
        </w:rPr>
      </w:pPr>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7857C2D4" w14:textId="77777777">
        <w:tc>
          <w:tcPr>
            <w:tcW w:w="4000" w:type="pct"/>
            <w:gridSpan w:val="2"/>
          </w:tcPr>
          <w:p w14:paraId="576C7F2D" w14:textId="77777777" w:rsidR="00B16DFE" w:rsidRDefault="00B16DFE">
            <w:pPr>
              <w:keepNext/>
              <w:keepLines/>
              <w:spacing w:after="0" w:line="225" w:lineRule="atLeast"/>
              <w:rPr>
                <w:rFonts w:ascii="Arial" w:eastAsia="Arial" w:hAnsi="Arial" w:cs="Arial"/>
                <w:sz w:val="16"/>
                <w:szCs w:val="16"/>
              </w:rPr>
            </w:pPr>
          </w:p>
        </w:tc>
      </w:tr>
      <w:tr w:rsidR="00B16DFE" w14:paraId="15952819" w14:textId="77777777">
        <w:tc>
          <w:tcPr>
            <w:tcW w:w="1000" w:type="pct"/>
          </w:tcPr>
          <w:p w14:paraId="59DA24EB" w14:textId="77777777" w:rsidR="00B16DFE" w:rsidRDefault="009F0859">
            <w:pPr>
              <w:pStyle w:val="Heading2"/>
              <w:spacing w:before="0" w:line="270" w:lineRule="atLeast"/>
              <w:rPr>
                <w:rFonts w:ascii="Arial" w:eastAsia="Arial" w:hAnsi="Arial" w:cs="Arial"/>
                <w:color w:val="333333"/>
                <w:spacing w:val="4"/>
                <w:sz w:val="21"/>
                <w:szCs w:val="21"/>
              </w:rPr>
            </w:pPr>
            <w:bookmarkStart w:id="27" w:name="_Toc28"/>
            <w:r>
              <w:rPr>
                <w:rFonts w:ascii="Arial" w:eastAsia="Arial" w:hAnsi="Arial" w:cs="Arial"/>
                <w:color w:val="333333"/>
                <w:spacing w:val="4"/>
                <w:sz w:val="21"/>
                <w:szCs w:val="21"/>
              </w:rPr>
              <w:t>Major Players</w:t>
            </w:r>
            <w:bookmarkEnd w:id="27"/>
          </w:p>
        </w:tc>
        <w:tc>
          <w:tcPr>
            <w:tcW w:w="4000" w:type="pct"/>
          </w:tcPr>
          <w:p w14:paraId="20C72669"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TUI Travel Ltd</w:t>
            </w:r>
            <w:r>
              <w:rPr>
                <w:noProof/>
              </w:rPr>
              <w:drawing>
                <wp:anchor distT="0" distB="0" distL="115200" distR="115200" simplePos="0" relativeHeight="251658752" behindDoc="0" locked="0" layoutInCell="1" allowOverlap="1" wp14:anchorId="1F00E03D" wp14:editId="7FA7578D">
                  <wp:simplePos x="0" y="0"/>
                  <wp:positionH relativeFrom="margin">
                    <wp:align>right</wp:align>
                  </wp:positionH>
                  <wp:positionV relativeFrom="paragraph">
                    <wp:posOffset>0</wp:posOffset>
                  </wp:positionV>
                  <wp:extent cx="2095500" cy="2095500"/>
                  <wp:effectExtent l="0" t="0" r="0" b="0"/>
                  <wp:wrapSquare wrapText="bothSides"/>
                  <wp:docPr id="127" name="Picture 127"/>
                  <wp:cNvGraphicFramePr/>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78" cstate="print"/>
                          <a:stretch>
                            <a:fillRect/>
                          </a:stretch>
                        </pic:blipFill>
                        <pic:spPr>
                          <a:xfrm>
                            <a:off x="0" y="0"/>
                            <a:ext cx="2095500" cy="2095500"/>
                          </a:xfrm>
                          <a:prstGeom prst="rect">
                            <a:avLst/>
                          </a:prstGeom>
                        </pic:spPr>
                      </pic:pic>
                    </a:graphicData>
                  </a:graphic>
                </wp:anchor>
              </w:drawing>
            </w:r>
          </w:p>
          <w:p w14:paraId="13195839"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Market Share: 11.0%</w:t>
            </w:r>
          </w:p>
          <w:p w14:paraId="4E5A4086"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TUI Travel Ltd was </w:t>
            </w:r>
            <w:r>
              <w:rPr>
                <w:rFonts w:ascii="Arial" w:eastAsia="Arial" w:hAnsi="Arial" w:cs="Arial"/>
                <w:sz w:val="16"/>
                <w:szCs w:val="16"/>
              </w:rPr>
              <w:t>formed in September 2007 by the merger of First Choice Holidays and TUI AG. The company was 55% owned by TUI AG until December 2014, when the merger of TUI Travel plc and TUI AG was completed to form TUI Group. As a result of the merger, TUI Travel plc cha</w:t>
            </w:r>
            <w:r>
              <w:rPr>
                <w:rFonts w:ascii="Arial" w:eastAsia="Arial" w:hAnsi="Arial" w:cs="Arial"/>
                <w:sz w:val="16"/>
                <w:szCs w:val="16"/>
              </w:rPr>
              <w:t>nged its name to TUI Travel Ltd. The merged company is likely to benefit from significant cost savings brought about by the streamlining of its administration. TUI AG has its roots in German industry and was founded as a mining company in 1923, entering th</w:t>
            </w:r>
            <w:r>
              <w:rPr>
                <w:rFonts w:ascii="Arial" w:eastAsia="Arial" w:hAnsi="Arial" w:cs="Arial"/>
                <w:sz w:val="16"/>
                <w:szCs w:val="16"/>
              </w:rPr>
              <w:t>e travel market in 1997 with the acquisition of Thomson Travel. Two years later, the company fully acquired Hapag-Lloyd, which owned the subsidiary Hapag-Lloyd Cruises.</w:t>
            </w:r>
          </w:p>
          <w:p w14:paraId="776A28E5"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TUI Group currently operates in 180 regions and operates an expected 1,600 travel agenc</w:t>
            </w:r>
            <w:r>
              <w:rPr>
                <w:rFonts w:ascii="Arial" w:eastAsia="Arial" w:hAnsi="Arial" w:cs="Arial"/>
                <w:sz w:val="16"/>
                <w:szCs w:val="16"/>
              </w:rPr>
              <w:t>ies, 150 aeroplanes, 17 cruise liners, and more than 380 hotels. The company claims to serve 27 million customers. TUI is headquartered in Germany and has approximately 70,000 employees. In May 2015, it was announced that UK travel agency brands Thomson an</w:t>
            </w:r>
            <w:r>
              <w:rPr>
                <w:rFonts w:ascii="Arial" w:eastAsia="Arial" w:hAnsi="Arial" w:cs="Arial"/>
                <w:sz w:val="16"/>
                <w:szCs w:val="16"/>
              </w:rPr>
              <w:t>d First Choice would be merged under a single brand. This was expected to take three years to complete. However, the company has instead rebranded Thompson to TUI, with First Choice remaining unaffected.</w:t>
            </w:r>
          </w:p>
          <w:p w14:paraId="3EAFDFB0" w14:textId="77777777" w:rsidR="00B16DFE" w:rsidRDefault="009F0859">
            <w:pPr>
              <w:keepNext/>
              <w:keepLines/>
              <w:spacing w:after="180" w:line="240" w:lineRule="atLeast"/>
              <w:rPr>
                <w:rFonts w:ascii="Arial" w:eastAsia="Arial" w:hAnsi="Arial" w:cs="Arial"/>
                <w:sz w:val="16"/>
                <w:szCs w:val="16"/>
              </w:rPr>
            </w:pPr>
            <w:r>
              <w:rPr>
                <w:rFonts w:ascii="Arial" w:eastAsia="Arial" w:hAnsi="Arial" w:cs="Arial"/>
                <w:b/>
                <w:bCs/>
                <w:sz w:val="18"/>
                <w:szCs w:val="18"/>
              </w:rPr>
              <w:t>Financial performance</w:t>
            </w:r>
          </w:p>
          <w:p w14:paraId="7C253E92"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Over the five years through 20</w:t>
            </w:r>
            <w:r>
              <w:rPr>
                <w:rFonts w:ascii="Arial" w:eastAsia="Arial" w:hAnsi="Arial" w:cs="Arial"/>
                <w:sz w:val="16"/>
                <w:szCs w:val="16"/>
              </w:rPr>
              <w:t xml:space="preserve">20-21, IBISWorld expects TUI Travel </w:t>
            </w:r>
            <w:proofErr w:type="spellStart"/>
            <w:r>
              <w:rPr>
                <w:rFonts w:ascii="Arial" w:eastAsia="Arial" w:hAnsi="Arial" w:cs="Arial"/>
                <w:sz w:val="16"/>
                <w:szCs w:val="16"/>
              </w:rPr>
              <w:t>Ltd's</w:t>
            </w:r>
            <w:proofErr w:type="spellEnd"/>
            <w:r>
              <w:rPr>
                <w:rFonts w:ascii="Arial" w:eastAsia="Arial" w:hAnsi="Arial" w:cs="Arial"/>
                <w:sz w:val="16"/>
                <w:szCs w:val="16"/>
              </w:rPr>
              <w:t xml:space="preserve"> industry-related revenue to rise at a compound annual rate of 4.1% to reach £3 billion. Before the merger, the company reported financials in pounds sterling; in the years since, it has begun to report in euros, le</w:t>
            </w:r>
            <w:r>
              <w:rPr>
                <w:rFonts w:ascii="Arial" w:eastAsia="Arial" w:hAnsi="Arial" w:cs="Arial"/>
                <w:sz w:val="16"/>
                <w:szCs w:val="16"/>
              </w:rPr>
              <w:t>ading to expected revenue figures for the whole period. The merger in 2014-15, prior to the start of the period, resulted in the business becoming stronger and better positioned strategically, and so revenue growth was strong over the beginning of the peri</w:t>
            </w:r>
            <w:r>
              <w:rPr>
                <w:rFonts w:ascii="Arial" w:eastAsia="Arial" w:hAnsi="Arial" w:cs="Arial"/>
                <w:sz w:val="16"/>
                <w:szCs w:val="16"/>
              </w:rPr>
              <w:t>od. The collapse of the company's biggest rival in September 2019, Thomas Cook, affected the company as TUI travel agents offer a small selection of TUI holidays featuring Thomas Cook flights, as well as selling a small number of Thomas Cook holidays throu</w:t>
            </w:r>
            <w:r>
              <w:rPr>
                <w:rFonts w:ascii="Arial" w:eastAsia="Arial" w:hAnsi="Arial" w:cs="Arial"/>
                <w:sz w:val="16"/>
                <w:szCs w:val="16"/>
              </w:rPr>
              <w:t>gh their stores. However, the subsequent effect is expected to be marginal and may drive demand for the company in the long run as competition has been reduced.</w:t>
            </w:r>
          </w:p>
          <w:p w14:paraId="3BDE6CDD"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The operations of the company over the past five years have been geared towards developing and </w:t>
            </w:r>
            <w:r>
              <w:rPr>
                <w:rFonts w:ascii="Arial" w:eastAsia="Arial" w:hAnsi="Arial" w:cs="Arial"/>
                <w:sz w:val="16"/>
                <w:szCs w:val="16"/>
              </w:rPr>
              <w:t xml:space="preserve">expanding its unique property types, such as First Choice Holiday Villages, </w:t>
            </w:r>
            <w:proofErr w:type="spellStart"/>
            <w:r>
              <w:rPr>
                <w:rFonts w:ascii="Arial" w:eastAsia="Arial" w:hAnsi="Arial" w:cs="Arial"/>
                <w:sz w:val="16"/>
                <w:szCs w:val="16"/>
              </w:rPr>
              <w:t>Sensatori</w:t>
            </w:r>
            <w:proofErr w:type="spellEnd"/>
            <w:r>
              <w:rPr>
                <w:rFonts w:ascii="Arial" w:eastAsia="Arial" w:hAnsi="Arial" w:cs="Arial"/>
                <w:sz w:val="16"/>
                <w:szCs w:val="16"/>
              </w:rPr>
              <w:t xml:space="preserve"> and </w:t>
            </w:r>
            <w:proofErr w:type="spellStart"/>
            <w:r>
              <w:rPr>
                <w:rFonts w:ascii="Arial" w:eastAsia="Arial" w:hAnsi="Arial" w:cs="Arial"/>
                <w:sz w:val="16"/>
                <w:szCs w:val="16"/>
              </w:rPr>
              <w:t>SplashWorld</w:t>
            </w:r>
            <w:proofErr w:type="spellEnd"/>
            <w:r>
              <w:rPr>
                <w:rFonts w:ascii="Arial" w:eastAsia="Arial" w:hAnsi="Arial" w:cs="Arial"/>
                <w:sz w:val="16"/>
                <w:szCs w:val="16"/>
              </w:rPr>
              <w:t>, which appeal to a wide range of consumer groups. Despite the terrorist attack in Tunisia in June 2015, which TUI was highly exposed to, revenue performan</w:t>
            </w:r>
            <w:r>
              <w:rPr>
                <w:rFonts w:ascii="Arial" w:eastAsia="Arial" w:hAnsi="Arial" w:cs="Arial"/>
                <w:sz w:val="16"/>
                <w:szCs w:val="16"/>
              </w:rPr>
              <w:t>ce has not been significantly affected due to the range of other destinations the company offers. Part of the company's growth strategy over the past five years was to broaden its range by introducing extra flexibility into packages and expanding its long-</w:t>
            </w:r>
            <w:r>
              <w:rPr>
                <w:rFonts w:ascii="Arial" w:eastAsia="Arial" w:hAnsi="Arial" w:cs="Arial"/>
                <w:sz w:val="16"/>
                <w:szCs w:val="16"/>
              </w:rPr>
              <w:t>haul offerings by taking advantage of the fleet of aircraft the company operates. The company has also improved its online presence, with the share of online sales reaching 48% in 2018-19, alongside a rise in mobile sales, which are not included in this fi</w:t>
            </w:r>
            <w:r>
              <w:rPr>
                <w:rFonts w:ascii="Arial" w:eastAsia="Arial" w:hAnsi="Arial" w:cs="Arial"/>
                <w:sz w:val="16"/>
                <w:szCs w:val="16"/>
              </w:rPr>
              <w:t>gure. Growth has been aided by the boost in traffic from mobile devices as a result of the company's mobile app launch in June 2013. Increased use of online platforms has supported improvements in operating margins, although these fluctuated overall throug</w:t>
            </w:r>
            <w:r>
              <w:rPr>
                <w:rFonts w:ascii="Arial" w:eastAsia="Arial" w:hAnsi="Arial" w:cs="Arial"/>
                <w:sz w:val="16"/>
                <w:szCs w:val="16"/>
              </w:rPr>
              <w:t>hout the period.</w:t>
            </w:r>
          </w:p>
          <w:p w14:paraId="5F031DA5"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Growth slowed over 2018-19 as the heatwave in the summer of 2018 caused a decrease in sales. Combined with the fall in the value of the pound, this meant fewer people holidaying abroad. The impact of travel restrictions on the year through</w:t>
            </w:r>
            <w:r>
              <w:rPr>
                <w:rFonts w:ascii="Arial" w:eastAsia="Arial" w:hAnsi="Arial" w:cs="Arial"/>
                <w:sz w:val="16"/>
                <w:szCs w:val="16"/>
              </w:rPr>
              <w:t xml:space="preserve"> September 2020, spanning into 2020-21, is expected to weigh heavily on industry revenue. With large numbers of countries enforcing temporary bans on incoming foreign nationals, and the foreign and commonwealth office advising against all but essential int</w:t>
            </w:r>
            <w:r>
              <w:rPr>
                <w:rFonts w:ascii="Arial" w:eastAsia="Arial" w:hAnsi="Arial" w:cs="Arial"/>
                <w:sz w:val="16"/>
                <w:szCs w:val="16"/>
              </w:rPr>
              <w:t xml:space="preserve">ernational travel between March 2020 and July 2020, the international travel industry came to a temporary standstill until restrictions were eased. As a result, demand for travel agents has plummeted and it is currently unclear when consumers will be able </w:t>
            </w:r>
            <w:r>
              <w:rPr>
                <w:rFonts w:ascii="Arial" w:eastAsia="Arial" w:hAnsi="Arial" w:cs="Arial"/>
                <w:sz w:val="16"/>
                <w:szCs w:val="16"/>
              </w:rPr>
              <w:t>to travel again with no restrictions in place, leaving TUI's current year revenue in a very uncertain position.</w:t>
            </w:r>
          </w:p>
        </w:tc>
      </w:tr>
      <w:tr w:rsidR="00B16DFE" w14:paraId="4AE84365" w14:textId="77777777">
        <w:tc>
          <w:tcPr>
            <w:tcW w:w="4000" w:type="pct"/>
            <w:gridSpan w:val="2"/>
          </w:tcPr>
          <w:p w14:paraId="163002CE" w14:textId="77777777" w:rsidR="00B16DFE" w:rsidRDefault="00B16DFE">
            <w:pPr>
              <w:keepNext/>
              <w:keepLines/>
              <w:spacing w:after="0" w:line="225" w:lineRule="atLeast"/>
              <w:rPr>
                <w:rFonts w:ascii="Arial" w:eastAsia="Arial" w:hAnsi="Arial" w:cs="Arial"/>
                <w:sz w:val="16"/>
                <w:szCs w:val="16"/>
              </w:rPr>
            </w:pPr>
          </w:p>
        </w:tc>
      </w:tr>
      <w:tr w:rsidR="00B16DFE" w14:paraId="6E7BB6E1" w14:textId="77777777">
        <w:trPr>
          <w:cantSplit/>
        </w:trPr>
        <w:tc>
          <w:tcPr>
            <w:tcW w:w="1000" w:type="pct"/>
          </w:tcPr>
          <w:p w14:paraId="4B6E5A20"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63844EB2" w14:textId="77777777" w:rsidR="00B16DFE" w:rsidRDefault="009F0859">
            <w:pPr>
              <w:keepNext/>
              <w:keepLines/>
              <w:shd w:val="clear" w:color="auto" w:fill="FAFAFA"/>
              <w:spacing w:before="120" w:after="0" w:line="240" w:lineRule="atLeast"/>
              <w:jc w:val="center"/>
              <w:rPr>
                <w:rFonts w:ascii="Arial" w:eastAsia="Arial" w:hAnsi="Arial" w:cs="Arial"/>
                <w:b/>
                <w:bCs/>
                <w:color w:val="333333"/>
                <w:spacing w:val="4"/>
                <w:sz w:val="18"/>
                <w:szCs w:val="18"/>
              </w:rPr>
            </w:pPr>
            <w:r>
              <w:rPr>
                <w:rFonts w:ascii="Arial" w:eastAsia="Arial" w:hAnsi="Arial" w:cs="Arial"/>
                <w:b/>
                <w:bCs/>
                <w:color w:val="333333"/>
                <w:spacing w:val="4"/>
                <w:sz w:val="18"/>
                <w:szCs w:val="18"/>
              </w:rPr>
              <w:t>TUI Travel Ltd - industry-related performance*</w:t>
            </w:r>
          </w:p>
          <w:tbl>
            <w:tblPr>
              <w:tblW w:w="5000" w:type="pct"/>
              <w:tblCellSpacing w:w="0" w:type="dxa"/>
              <w:tblBorders>
                <w:top w:val="nil"/>
                <w:left w:val="nil"/>
                <w:bottom w:val="nil"/>
                <w:right w:val="nil"/>
                <w:insideH w:val="nil"/>
                <w:insideV w:val="nil"/>
              </w:tblBorders>
              <w:shd w:val="clear" w:color="auto" w:fill="FAFAFA"/>
              <w:tblLook w:val="04A0" w:firstRow="1" w:lastRow="0" w:firstColumn="1" w:lastColumn="0" w:noHBand="0" w:noVBand="1"/>
            </w:tblPr>
            <w:tblGrid>
              <w:gridCol w:w="2819"/>
              <w:gridCol w:w="2819"/>
              <w:gridCol w:w="2820"/>
            </w:tblGrid>
            <w:tr w:rsidR="00B16DFE" w14:paraId="696E29AD" w14:textId="77777777">
              <w:trPr>
                <w:tblHeader/>
                <w:tblCellSpacing w:w="0" w:type="dxa"/>
              </w:trPr>
              <w:tc>
                <w:tcPr>
                  <w:tcW w:w="1000" w:type="pct"/>
                  <w:shd w:val="clear" w:color="auto" w:fill="FAFAFA"/>
                  <w:tcMar>
                    <w:top w:w="60" w:type="dxa"/>
                    <w:left w:w="0" w:type="dxa"/>
                    <w:bottom w:w="0" w:type="dxa"/>
                    <w:right w:w="0" w:type="dxa"/>
                  </w:tcMar>
                  <w:vAlign w:val="bottom"/>
                </w:tcPr>
                <w:p w14:paraId="65CBF108" w14:textId="77777777" w:rsidR="00B16DFE" w:rsidRDefault="009F0859">
                  <w:pPr>
                    <w:keepNext/>
                    <w:keepLines/>
                    <w:shd w:val="clear" w:color="auto" w:fill="FAFAFA"/>
                    <w:spacing w:before="60" w:after="0" w:line="288" w:lineRule="auto"/>
                    <w:jc w:val="right"/>
                    <w:rPr>
                      <w:rFonts w:ascii="Arial" w:eastAsia="Arial" w:hAnsi="Arial" w:cs="Arial"/>
                      <w:b/>
                      <w:bCs/>
                      <w:sz w:val="15"/>
                      <w:szCs w:val="15"/>
                    </w:rPr>
                  </w:pPr>
                  <w:r>
                    <w:rPr>
                      <w:rFonts w:ascii="Arial" w:eastAsia="Arial" w:hAnsi="Arial" w:cs="Arial"/>
                      <w:b/>
                      <w:bCs/>
                      <w:sz w:val="15"/>
                      <w:szCs w:val="15"/>
                    </w:rPr>
                    <w:t xml:space="preserve">Year** </w:t>
                  </w:r>
                </w:p>
              </w:tc>
              <w:tc>
                <w:tcPr>
                  <w:tcW w:w="1000" w:type="pct"/>
                  <w:shd w:val="clear" w:color="auto" w:fill="FAFAFA"/>
                  <w:tcMar>
                    <w:top w:w="60" w:type="dxa"/>
                    <w:left w:w="0" w:type="dxa"/>
                    <w:bottom w:w="0" w:type="dxa"/>
                    <w:right w:w="0" w:type="dxa"/>
                  </w:tcMar>
                  <w:vAlign w:val="bottom"/>
                </w:tcPr>
                <w:p w14:paraId="5BEAAF19" w14:textId="77777777" w:rsidR="00B16DFE" w:rsidRDefault="009F0859">
                  <w:pPr>
                    <w:keepNext/>
                    <w:keepLines/>
                    <w:shd w:val="clear" w:color="auto" w:fill="FAFAFA"/>
                    <w:spacing w:before="60" w:after="0" w:line="288" w:lineRule="auto"/>
                    <w:jc w:val="right"/>
                    <w:rPr>
                      <w:rFonts w:ascii="Arial" w:eastAsia="Arial" w:hAnsi="Arial" w:cs="Arial"/>
                      <w:b/>
                      <w:bCs/>
                      <w:sz w:val="15"/>
                      <w:szCs w:val="15"/>
                    </w:rPr>
                  </w:pPr>
                  <w:r>
                    <w:rPr>
                      <w:rFonts w:ascii="Arial" w:eastAsia="Arial" w:hAnsi="Arial" w:cs="Arial"/>
                      <w:b/>
                      <w:bCs/>
                      <w:sz w:val="15"/>
                      <w:szCs w:val="15"/>
                    </w:rPr>
                    <w:t xml:space="preserve">Revenue </w:t>
                  </w:r>
                  <w:r>
                    <w:br/>
                  </w:r>
                  <w:r>
                    <w:rPr>
                      <w:rFonts w:ascii="Arial" w:eastAsia="Arial" w:hAnsi="Arial" w:cs="Arial"/>
                      <w:b/>
                      <w:bCs/>
                      <w:sz w:val="15"/>
                      <w:szCs w:val="15"/>
                    </w:rPr>
                    <w:t>(£m)</w:t>
                  </w:r>
                </w:p>
              </w:tc>
              <w:tc>
                <w:tcPr>
                  <w:tcW w:w="1000" w:type="pct"/>
                  <w:shd w:val="clear" w:color="auto" w:fill="FAFAFA"/>
                  <w:tcMar>
                    <w:top w:w="60" w:type="dxa"/>
                    <w:left w:w="0" w:type="dxa"/>
                    <w:bottom w:w="0" w:type="dxa"/>
                    <w:right w:w="0" w:type="dxa"/>
                  </w:tcMar>
                  <w:vAlign w:val="bottom"/>
                </w:tcPr>
                <w:p w14:paraId="554C4133" w14:textId="77777777" w:rsidR="00B16DFE" w:rsidRDefault="009F0859">
                  <w:pPr>
                    <w:keepNext/>
                    <w:keepLines/>
                    <w:shd w:val="clear" w:color="auto" w:fill="FAFAFA"/>
                    <w:spacing w:before="60" w:after="0" w:line="288" w:lineRule="auto"/>
                    <w:jc w:val="right"/>
                    <w:rPr>
                      <w:rFonts w:ascii="Arial" w:eastAsia="Arial" w:hAnsi="Arial" w:cs="Arial"/>
                      <w:b/>
                      <w:bCs/>
                      <w:sz w:val="15"/>
                      <w:szCs w:val="15"/>
                    </w:rPr>
                  </w:pPr>
                  <w:r>
                    <w:rPr>
                      <w:rFonts w:ascii="Arial" w:eastAsia="Arial" w:hAnsi="Arial" w:cs="Arial"/>
                      <w:b/>
                      <w:bCs/>
                      <w:sz w:val="15"/>
                      <w:szCs w:val="15"/>
                    </w:rPr>
                    <w:t xml:space="preserve">Growth </w:t>
                  </w:r>
                  <w:r>
                    <w:br/>
                  </w:r>
                  <w:r>
                    <w:rPr>
                      <w:rFonts w:ascii="Arial" w:eastAsia="Arial" w:hAnsi="Arial" w:cs="Arial"/>
                      <w:b/>
                      <w:bCs/>
                      <w:sz w:val="15"/>
                      <w:szCs w:val="15"/>
                    </w:rPr>
                    <w:t>(% change)</w:t>
                  </w:r>
                </w:p>
              </w:tc>
            </w:tr>
            <w:tr w:rsidR="00B16DFE" w14:paraId="5CFC27FE" w14:textId="77777777">
              <w:trPr>
                <w:tblCellSpacing w:w="0" w:type="dxa"/>
              </w:trPr>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4241BE1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2015-16</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6F2770C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2471</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571F0B2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N/C</w:t>
                  </w:r>
                </w:p>
              </w:tc>
            </w:tr>
            <w:tr w:rsidR="00B16DFE" w14:paraId="3CFF954C"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0971E0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2016-17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5067DBD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2955</w:t>
                  </w:r>
                </w:p>
              </w:tc>
              <w:tc>
                <w:tcPr>
                  <w:tcW w:w="0" w:type="auto"/>
                  <w:tcBorders>
                    <w:bottom w:val="single" w:sz="6" w:space="0" w:color="D8DDEA"/>
                  </w:tcBorders>
                  <w:shd w:val="clear" w:color="auto" w:fill="FAFAFA"/>
                  <w:tcMar>
                    <w:top w:w="15" w:type="dxa"/>
                    <w:left w:w="0" w:type="dxa"/>
                    <w:bottom w:w="15" w:type="dxa"/>
                    <w:right w:w="0" w:type="dxa"/>
                  </w:tcMar>
                  <w:vAlign w:val="center"/>
                </w:tcPr>
                <w:p w14:paraId="3B68C2A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19.6</w:t>
                  </w:r>
                </w:p>
              </w:tc>
            </w:tr>
            <w:tr w:rsidR="00B16DFE" w14:paraId="2DA23DA3"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340F534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2017-18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4AFAE6B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3152</w:t>
                  </w:r>
                </w:p>
              </w:tc>
              <w:tc>
                <w:tcPr>
                  <w:tcW w:w="0" w:type="auto"/>
                  <w:tcBorders>
                    <w:bottom w:val="single" w:sz="6" w:space="0" w:color="D8DDEA"/>
                  </w:tcBorders>
                  <w:shd w:val="clear" w:color="auto" w:fill="FAFAFA"/>
                  <w:tcMar>
                    <w:top w:w="15" w:type="dxa"/>
                    <w:left w:w="0" w:type="dxa"/>
                    <w:bottom w:w="15" w:type="dxa"/>
                    <w:right w:w="0" w:type="dxa"/>
                  </w:tcMar>
                  <w:vAlign w:val="center"/>
                </w:tcPr>
                <w:p w14:paraId="1671FA7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6.7</w:t>
                  </w:r>
                </w:p>
              </w:tc>
            </w:tr>
            <w:tr w:rsidR="00B16DFE" w14:paraId="51B8C44C"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4423559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2018-19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1A97E86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3258</w:t>
                  </w:r>
                </w:p>
              </w:tc>
              <w:tc>
                <w:tcPr>
                  <w:tcW w:w="0" w:type="auto"/>
                  <w:tcBorders>
                    <w:bottom w:val="single" w:sz="6" w:space="0" w:color="D8DDEA"/>
                  </w:tcBorders>
                  <w:shd w:val="clear" w:color="auto" w:fill="FAFAFA"/>
                  <w:tcMar>
                    <w:top w:w="15" w:type="dxa"/>
                    <w:left w:w="0" w:type="dxa"/>
                    <w:bottom w:w="15" w:type="dxa"/>
                    <w:right w:w="0" w:type="dxa"/>
                  </w:tcMar>
                  <w:vAlign w:val="center"/>
                </w:tcPr>
                <w:p w14:paraId="50BBDA7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w:t>
                  </w:r>
                </w:p>
              </w:tc>
            </w:tr>
            <w:tr w:rsidR="00B16DFE" w14:paraId="24CF3EB3"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384F72D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2019-20</w:t>
                  </w:r>
                </w:p>
              </w:tc>
              <w:tc>
                <w:tcPr>
                  <w:tcW w:w="0" w:type="auto"/>
                  <w:tcBorders>
                    <w:bottom w:val="single" w:sz="6" w:space="0" w:color="D8DDEA"/>
                  </w:tcBorders>
                  <w:shd w:val="clear" w:color="auto" w:fill="FAFAFA"/>
                  <w:tcMar>
                    <w:top w:w="15" w:type="dxa"/>
                    <w:left w:w="0" w:type="dxa"/>
                    <w:bottom w:w="15" w:type="dxa"/>
                    <w:right w:w="0" w:type="dxa"/>
                  </w:tcMar>
                  <w:vAlign w:val="center"/>
                </w:tcPr>
                <w:p w14:paraId="5AF6B7F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3008</w:t>
                  </w:r>
                </w:p>
              </w:tc>
              <w:tc>
                <w:tcPr>
                  <w:tcW w:w="0" w:type="auto"/>
                  <w:tcBorders>
                    <w:bottom w:val="single" w:sz="6" w:space="0" w:color="D8DDEA"/>
                  </w:tcBorders>
                  <w:shd w:val="clear" w:color="auto" w:fill="FAFAFA"/>
                  <w:tcMar>
                    <w:top w:w="15" w:type="dxa"/>
                    <w:left w:w="0" w:type="dxa"/>
                    <w:bottom w:w="15" w:type="dxa"/>
                    <w:right w:w="0" w:type="dxa"/>
                  </w:tcMar>
                  <w:vAlign w:val="center"/>
                </w:tcPr>
                <w:p w14:paraId="45FD631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-7.7</w:t>
                  </w:r>
                </w:p>
              </w:tc>
            </w:tr>
            <w:tr w:rsidR="00B16DFE" w14:paraId="3320CE61"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3DA52E9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2020-21</w:t>
                  </w:r>
                </w:p>
              </w:tc>
              <w:tc>
                <w:tcPr>
                  <w:tcW w:w="0" w:type="auto"/>
                  <w:tcBorders>
                    <w:bottom w:val="single" w:sz="6" w:space="0" w:color="D8DDEA"/>
                  </w:tcBorders>
                  <w:shd w:val="clear" w:color="auto" w:fill="FAFAFA"/>
                  <w:tcMar>
                    <w:top w:w="15" w:type="dxa"/>
                    <w:left w:w="0" w:type="dxa"/>
                    <w:bottom w:w="15" w:type="dxa"/>
                    <w:right w:w="0" w:type="dxa"/>
                  </w:tcMar>
                  <w:vAlign w:val="center"/>
                </w:tcPr>
                <w:p w14:paraId="04F967B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3020</w:t>
                  </w:r>
                </w:p>
              </w:tc>
              <w:tc>
                <w:tcPr>
                  <w:tcW w:w="0" w:type="auto"/>
                  <w:tcBorders>
                    <w:bottom w:val="single" w:sz="6" w:space="0" w:color="D8DDEA"/>
                  </w:tcBorders>
                  <w:shd w:val="clear" w:color="auto" w:fill="FAFAFA"/>
                  <w:tcMar>
                    <w:top w:w="15" w:type="dxa"/>
                    <w:left w:w="0" w:type="dxa"/>
                    <w:bottom w:w="15" w:type="dxa"/>
                    <w:right w:w="0" w:type="dxa"/>
                  </w:tcMar>
                  <w:vAlign w:val="center"/>
                </w:tcPr>
                <w:p w14:paraId="6F0BCF6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0.4</w:t>
                  </w:r>
                </w:p>
              </w:tc>
            </w:tr>
            <w:tr w:rsidR="00B16DFE" w14:paraId="12C90EBC" w14:textId="77777777">
              <w:trPr>
                <w:tblCellSpacing w:w="0" w:type="dxa"/>
              </w:trPr>
              <w:tc>
                <w:tcPr>
                  <w:tcW w:w="0" w:type="auto"/>
                  <w:gridSpan w:val="3"/>
                  <w:shd w:val="clear" w:color="auto" w:fill="FFFFFF"/>
                  <w:tcMar>
                    <w:top w:w="15" w:type="dxa"/>
                    <w:left w:w="0" w:type="dxa"/>
                    <w:bottom w:w="15" w:type="dxa"/>
                    <w:right w:w="0" w:type="dxa"/>
                  </w:tcMar>
                  <w:vAlign w:val="center"/>
                </w:tcPr>
                <w:p w14:paraId="0C9A33FC" w14:textId="77777777" w:rsidR="00B16DFE" w:rsidRDefault="009F0859">
                  <w:pPr>
                    <w:keepNext/>
                    <w:keepLines/>
                    <w:shd w:val="clear" w:color="auto" w:fill="FFFFFF"/>
                    <w:spacing w:after="0" w:line="165" w:lineRule="atLeast"/>
                    <w:rPr>
                      <w:rFonts w:ascii="Arial" w:eastAsia="Arial" w:hAnsi="Arial" w:cs="Arial"/>
                      <w:sz w:val="16"/>
                      <w:szCs w:val="16"/>
                    </w:rPr>
                  </w:pPr>
                  <w:r>
                    <w:rPr>
                      <w:rFonts w:ascii="Arial" w:eastAsia="Arial" w:hAnsi="Arial" w:cs="Arial"/>
                      <w:sz w:val="14"/>
                      <w:szCs w:val="14"/>
                    </w:rPr>
                    <w:t>Source: IBISWorld</w:t>
                  </w:r>
                </w:p>
              </w:tc>
            </w:tr>
            <w:tr w:rsidR="00B16DFE" w14:paraId="2CFEAB34" w14:textId="77777777">
              <w:trPr>
                <w:tblCellSpacing w:w="0" w:type="dxa"/>
              </w:trPr>
              <w:tc>
                <w:tcPr>
                  <w:tcW w:w="0" w:type="auto"/>
                  <w:gridSpan w:val="3"/>
                  <w:shd w:val="clear" w:color="auto" w:fill="FFFFFF"/>
                  <w:tcMar>
                    <w:top w:w="15" w:type="dxa"/>
                    <w:left w:w="0" w:type="dxa"/>
                    <w:bottom w:w="15" w:type="dxa"/>
                    <w:right w:w="0" w:type="dxa"/>
                  </w:tcMar>
                  <w:vAlign w:val="center"/>
                </w:tcPr>
                <w:p w14:paraId="46470103" w14:textId="77777777" w:rsidR="00B16DFE" w:rsidRDefault="009F0859">
                  <w:pPr>
                    <w:keepNext/>
                    <w:keepLines/>
                    <w:shd w:val="clear" w:color="auto" w:fill="FFFFFF"/>
                    <w:spacing w:after="0" w:line="165" w:lineRule="atLeast"/>
                    <w:rPr>
                      <w:rFonts w:ascii="Arial" w:eastAsia="Arial" w:hAnsi="Arial" w:cs="Arial"/>
                      <w:sz w:val="16"/>
                      <w:szCs w:val="16"/>
                    </w:rPr>
                  </w:pPr>
                  <w:r>
                    <w:rPr>
                      <w:rFonts w:ascii="Arial" w:eastAsia="Arial" w:hAnsi="Arial" w:cs="Arial"/>
                      <w:sz w:val="14"/>
                      <w:szCs w:val="14"/>
                    </w:rPr>
                    <w:t>Note: *Estimate **Year end September</w:t>
                  </w:r>
                </w:p>
              </w:tc>
            </w:tr>
          </w:tbl>
          <w:p w14:paraId="40FABEEF" w14:textId="77777777" w:rsidR="00B16DFE" w:rsidRDefault="00B16DFE"/>
        </w:tc>
      </w:tr>
      <w:tr w:rsidR="00B16DFE" w14:paraId="642C2132" w14:textId="77777777">
        <w:trPr>
          <w:cantSplit/>
        </w:trPr>
        <w:tc>
          <w:tcPr>
            <w:tcW w:w="1000" w:type="pct"/>
          </w:tcPr>
          <w:p w14:paraId="1B23D0B3"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lastRenderedPageBreak/>
              <w:t> </w:t>
            </w:r>
          </w:p>
        </w:tc>
        <w:tc>
          <w:tcPr>
            <w:tcW w:w="4000" w:type="pct"/>
          </w:tcPr>
          <w:p w14:paraId="480A195A" w14:textId="77777777" w:rsidR="00B16DFE" w:rsidRDefault="009F0859">
            <w:pPr>
              <w:keepNext/>
              <w:keepLines/>
              <w:shd w:val="clear" w:color="auto" w:fill="FAFAFA"/>
              <w:spacing w:before="120" w:after="0" w:line="240" w:lineRule="atLeast"/>
              <w:jc w:val="center"/>
              <w:rPr>
                <w:rFonts w:ascii="Arial" w:eastAsia="Arial" w:hAnsi="Arial" w:cs="Arial"/>
                <w:b/>
                <w:bCs/>
                <w:color w:val="333333"/>
                <w:spacing w:val="4"/>
                <w:sz w:val="18"/>
                <w:szCs w:val="18"/>
              </w:rPr>
            </w:pPr>
            <w:r>
              <w:rPr>
                <w:rFonts w:ascii="Arial" w:eastAsia="Arial" w:hAnsi="Arial" w:cs="Arial"/>
                <w:b/>
                <w:bCs/>
                <w:color w:val="333333"/>
                <w:spacing w:val="4"/>
                <w:sz w:val="18"/>
                <w:szCs w:val="18"/>
              </w:rPr>
              <w:t>TUI Travel Ltd - financial performance*</w:t>
            </w:r>
          </w:p>
          <w:tbl>
            <w:tblPr>
              <w:tblW w:w="5000" w:type="pct"/>
              <w:tblCellSpacing w:w="0" w:type="dxa"/>
              <w:tblBorders>
                <w:top w:val="nil"/>
                <w:left w:val="nil"/>
                <w:bottom w:val="nil"/>
                <w:right w:val="nil"/>
                <w:insideH w:val="nil"/>
                <w:insideV w:val="nil"/>
              </w:tblBorders>
              <w:shd w:val="clear" w:color="auto" w:fill="FAFAFA"/>
              <w:tblLook w:val="04A0" w:firstRow="1" w:lastRow="0" w:firstColumn="1" w:lastColumn="0" w:noHBand="0" w:noVBand="1"/>
            </w:tblPr>
            <w:tblGrid>
              <w:gridCol w:w="1691"/>
              <w:gridCol w:w="1691"/>
              <w:gridCol w:w="1692"/>
              <w:gridCol w:w="1692"/>
              <w:gridCol w:w="1692"/>
            </w:tblGrid>
            <w:tr w:rsidR="00B16DFE" w14:paraId="293190B7" w14:textId="77777777">
              <w:trPr>
                <w:tblHeader/>
                <w:tblCellSpacing w:w="0" w:type="dxa"/>
              </w:trPr>
              <w:tc>
                <w:tcPr>
                  <w:tcW w:w="1000" w:type="pct"/>
                  <w:shd w:val="clear" w:color="auto" w:fill="FAFAFA"/>
                  <w:tcMar>
                    <w:top w:w="60" w:type="dxa"/>
                    <w:left w:w="0" w:type="dxa"/>
                    <w:bottom w:w="0" w:type="dxa"/>
                    <w:right w:w="0" w:type="dxa"/>
                  </w:tcMar>
                  <w:vAlign w:val="bottom"/>
                </w:tcPr>
                <w:p w14:paraId="467B5F9F" w14:textId="77777777" w:rsidR="00B16DFE" w:rsidRDefault="009F0859">
                  <w:pPr>
                    <w:keepNext/>
                    <w:keepLines/>
                    <w:shd w:val="clear" w:color="auto" w:fill="FAFAFA"/>
                    <w:spacing w:before="60" w:after="0" w:line="288" w:lineRule="auto"/>
                    <w:jc w:val="right"/>
                    <w:rPr>
                      <w:rFonts w:ascii="Arial" w:eastAsia="Arial" w:hAnsi="Arial" w:cs="Arial"/>
                      <w:b/>
                      <w:bCs/>
                      <w:sz w:val="15"/>
                      <w:szCs w:val="15"/>
                    </w:rPr>
                  </w:pPr>
                  <w:r>
                    <w:rPr>
                      <w:rFonts w:ascii="Arial" w:eastAsia="Arial" w:hAnsi="Arial" w:cs="Arial"/>
                      <w:b/>
                      <w:bCs/>
                      <w:sz w:val="15"/>
                      <w:szCs w:val="15"/>
                    </w:rPr>
                    <w:t xml:space="preserve">Year** </w:t>
                  </w:r>
                </w:p>
              </w:tc>
              <w:tc>
                <w:tcPr>
                  <w:tcW w:w="1000" w:type="pct"/>
                  <w:shd w:val="clear" w:color="auto" w:fill="FAFAFA"/>
                  <w:tcMar>
                    <w:top w:w="60" w:type="dxa"/>
                    <w:left w:w="0" w:type="dxa"/>
                    <w:bottom w:w="0" w:type="dxa"/>
                    <w:right w:w="0" w:type="dxa"/>
                  </w:tcMar>
                  <w:vAlign w:val="bottom"/>
                </w:tcPr>
                <w:p w14:paraId="06102D02" w14:textId="77777777" w:rsidR="00B16DFE" w:rsidRDefault="009F0859">
                  <w:pPr>
                    <w:keepNext/>
                    <w:keepLines/>
                    <w:shd w:val="clear" w:color="auto" w:fill="FAFAFA"/>
                    <w:spacing w:before="60" w:after="0" w:line="288" w:lineRule="auto"/>
                    <w:jc w:val="right"/>
                    <w:rPr>
                      <w:rFonts w:ascii="Arial" w:eastAsia="Arial" w:hAnsi="Arial" w:cs="Arial"/>
                      <w:b/>
                      <w:bCs/>
                      <w:sz w:val="15"/>
                      <w:szCs w:val="15"/>
                    </w:rPr>
                  </w:pPr>
                  <w:r>
                    <w:rPr>
                      <w:rFonts w:ascii="Arial" w:eastAsia="Arial" w:hAnsi="Arial" w:cs="Arial"/>
                      <w:b/>
                      <w:bCs/>
                      <w:sz w:val="15"/>
                      <w:szCs w:val="15"/>
                    </w:rPr>
                    <w:t xml:space="preserve">Revenue </w:t>
                  </w:r>
                  <w:r>
                    <w:br/>
                  </w:r>
                  <w:r>
                    <w:rPr>
                      <w:rFonts w:ascii="Arial" w:eastAsia="Arial" w:hAnsi="Arial" w:cs="Arial"/>
                      <w:b/>
                      <w:bCs/>
                      <w:sz w:val="15"/>
                      <w:szCs w:val="15"/>
                    </w:rPr>
                    <w:t>(£m)</w:t>
                  </w:r>
                </w:p>
              </w:tc>
              <w:tc>
                <w:tcPr>
                  <w:tcW w:w="1000" w:type="pct"/>
                  <w:shd w:val="clear" w:color="auto" w:fill="FAFAFA"/>
                  <w:tcMar>
                    <w:top w:w="60" w:type="dxa"/>
                    <w:left w:w="0" w:type="dxa"/>
                    <w:bottom w:w="0" w:type="dxa"/>
                    <w:right w:w="0" w:type="dxa"/>
                  </w:tcMar>
                  <w:vAlign w:val="bottom"/>
                </w:tcPr>
                <w:p w14:paraId="359B5BD3" w14:textId="77777777" w:rsidR="00B16DFE" w:rsidRDefault="009F0859">
                  <w:pPr>
                    <w:keepNext/>
                    <w:keepLines/>
                    <w:shd w:val="clear" w:color="auto" w:fill="FAFAFA"/>
                    <w:spacing w:before="60" w:after="0" w:line="288" w:lineRule="auto"/>
                    <w:jc w:val="right"/>
                    <w:rPr>
                      <w:rFonts w:ascii="Arial" w:eastAsia="Arial" w:hAnsi="Arial" w:cs="Arial"/>
                      <w:b/>
                      <w:bCs/>
                      <w:sz w:val="15"/>
                      <w:szCs w:val="15"/>
                    </w:rPr>
                  </w:pPr>
                  <w:r>
                    <w:rPr>
                      <w:rFonts w:ascii="Arial" w:eastAsia="Arial" w:hAnsi="Arial" w:cs="Arial"/>
                      <w:b/>
                      <w:bCs/>
                      <w:sz w:val="15"/>
                      <w:szCs w:val="15"/>
                    </w:rPr>
                    <w:t xml:space="preserve">Growth </w:t>
                  </w:r>
                  <w:r>
                    <w:br/>
                  </w:r>
                  <w:r>
                    <w:rPr>
                      <w:rFonts w:ascii="Arial" w:eastAsia="Arial" w:hAnsi="Arial" w:cs="Arial"/>
                      <w:b/>
                      <w:bCs/>
                      <w:sz w:val="15"/>
                      <w:szCs w:val="15"/>
                    </w:rPr>
                    <w:t>(% change)</w:t>
                  </w:r>
                </w:p>
              </w:tc>
              <w:tc>
                <w:tcPr>
                  <w:tcW w:w="1000" w:type="pct"/>
                  <w:shd w:val="clear" w:color="auto" w:fill="FAFAFA"/>
                  <w:tcMar>
                    <w:top w:w="60" w:type="dxa"/>
                    <w:left w:w="0" w:type="dxa"/>
                    <w:bottom w:w="0" w:type="dxa"/>
                    <w:right w:w="0" w:type="dxa"/>
                  </w:tcMar>
                  <w:vAlign w:val="bottom"/>
                </w:tcPr>
                <w:p w14:paraId="241E8D0A" w14:textId="77777777" w:rsidR="00B16DFE" w:rsidRDefault="009F0859">
                  <w:pPr>
                    <w:keepNext/>
                    <w:keepLines/>
                    <w:shd w:val="clear" w:color="auto" w:fill="FAFAFA"/>
                    <w:spacing w:before="60" w:after="0" w:line="288" w:lineRule="auto"/>
                    <w:jc w:val="right"/>
                    <w:rPr>
                      <w:rFonts w:ascii="Arial" w:eastAsia="Arial" w:hAnsi="Arial" w:cs="Arial"/>
                      <w:b/>
                      <w:bCs/>
                      <w:sz w:val="15"/>
                      <w:szCs w:val="15"/>
                    </w:rPr>
                  </w:pPr>
                  <w:r>
                    <w:rPr>
                      <w:rFonts w:ascii="Arial" w:eastAsia="Arial" w:hAnsi="Arial" w:cs="Arial"/>
                      <w:b/>
                      <w:bCs/>
                      <w:sz w:val="15"/>
                      <w:szCs w:val="15"/>
                    </w:rPr>
                    <w:t xml:space="preserve">Operating Profit </w:t>
                  </w:r>
                  <w:r>
                    <w:br/>
                  </w:r>
                  <w:r>
                    <w:rPr>
                      <w:rFonts w:ascii="Arial" w:eastAsia="Arial" w:hAnsi="Arial" w:cs="Arial"/>
                      <w:b/>
                      <w:bCs/>
                      <w:sz w:val="15"/>
                      <w:szCs w:val="15"/>
                    </w:rPr>
                    <w:t>(£m)</w:t>
                  </w:r>
                </w:p>
              </w:tc>
              <w:tc>
                <w:tcPr>
                  <w:tcW w:w="1000" w:type="pct"/>
                  <w:shd w:val="clear" w:color="auto" w:fill="FAFAFA"/>
                  <w:tcMar>
                    <w:top w:w="60" w:type="dxa"/>
                    <w:left w:w="0" w:type="dxa"/>
                    <w:bottom w:w="0" w:type="dxa"/>
                    <w:right w:w="0" w:type="dxa"/>
                  </w:tcMar>
                  <w:vAlign w:val="bottom"/>
                </w:tcPr>
                <w:p w14:paraId="431574E0" w14:textId="77777777" w:rsidR="00B16DFE" w:rsidRDefault="009F0859">
                  <w:pPr>
                    <w:keepNext/>
                    <w:keepLines/>
                    <w:shd w:val="clear" w:color="auto" w:fill="FAFAFA"/>
                    <w:spacing w:before="60" w:after="0" w:line="288" w:lineRule="auto"/>
                    <w:jc w:val="right"/>
                    <w:rPr>
                      <w:rFonts w:ascii="Arial" w:eastAsia="Arial" w:hAnsi="Arial" w:cs="Arial"/>
                      <w:b/>
                      <w:bCs/>
                      <w:sz w:val="15"/>
                      <w:szCs w:val="15"/>
                    </w:rPr>
                  </w:pPr>
                  <w:r>
                    <w:rPr>
                      <w:rFonts w:ascii="Arial" w:eastAsia="Arial" w:hAnsi="Arial" w:cs="Arial"/>
                      <w:b/>
                      <w:bCs/>
                      <w:sz w:val="15"/>
                      <w:szCs w:val="15"/>
                    </w:rPr>
                    <w:t xml:space="preserve">Growth </w:t>
                  </w:r>
                  <w:r>
                    <w:br/>
                  </w:r>
                  <w:r>
                    <w:rPr>
                      <w:rFonts w:ascii="Arial" w:eastAsia="Arial" w:hAnsi="Arial" w:cs="Arial"/>
                      <w:b/>
                      <w:bCs/>
                      <w:sz w:val="15"/>
                      <w:szCs w:val="15"/>
                    </w:rPr>
                    <w:t xml:space="preserve">(% </w:t>
                  </w:r>
                  <w:r>
                    <w:rPr>
                      <w:rFonts w:ascii="Arial" w:eastAsia="Arial" w:hAnsi="Arial" w:cs="Arial"/>
                      <w:b/>
                      <w:bCs/>
                      <w:sz w:val="15"/>
                      <w:szCs w:val="15"/>
                    </w:rPr>
                    <w:t>change)</w:t>
                  </w:r>
                </w:p>
              </w:tc>
            </w:tr>
            <w:tr w:rsidR="00B16DFE" w14:paraId="528507E8" w14:textId="77777777">
              <w:trPr>
                <w:tblCellSpacing w:w="0" w:type="dxa"/>
              </w:trPr>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6D89801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2015-16</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4F02DFD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12478</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3C5343C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N/C</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615D0ED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837</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4A0F92F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N/C</w:t>
                  </w:r>
                </w:p>
              </w:tc>
            </w:tr>
            <w:tr w:rsidR="00B16DFE" w14:paraId="08F2B874"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48D3FB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2016-17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49D374E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15388</w:t>
                  </w:r>
                </w:p>
              </w:tc>
              <w:tc>
                <w:tcPr>
                  <w:tcW w:w="0" w:type="auto"/>
                  <w:tcBorders>
                    <w:bottom w:val="single" w:sz="6" w:space="0" w:color="D8DDEA"/>
                  </w:tcBorders>
                  <w:shd w:val="clear" w:color="auto" w:fill="FAFAFA"/>
                  <w:tcMar>
                    <w:top w:w="15" w:type="dxa"/>
                    <w:left w:w="0" w:type="dxa"/>
                    <w:bottom w:w="15" w:type="dxa"/>
                    <w:right w:w="0" w:type="dxa"/>
                  </w:tcMar>
                  <w:vAlign w:val="center"/>
                </w:tcPr>
                <w:p w14:paraId="5037A43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23.3</w:t>
                  </w:r>
                </w:p>
              </w:tc>
              <w:tc>
                <w:tcPr>
                  <w:tcW w:w="0" w:type="auto"/>
                  <w:tcBorders>
                    <w:bottom w:val="single" w:sz="6" w:space="0" w:color="D8DDEA"/>
                  </w:tcBorders>
                  <w:shd w:val="clear" w:color="auto" w:fill="FAFAFA"/>
                  <w:tcMar>
                    <w:top w:w="15" w:type="dxa"/>
                    <w:left w:w="0" w:type="dxa"/>
                    <w:bottom w:w="15" w:type="dxa"/>
                    <w:right w:w="0" w:type="dxa"/>
                  </w:tcMar>
                  <w:vAlign w:val="center"/>
                </w:tcPr>
                <w:p w14:paraId="01A2DE7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632</w:t>
                  </w:r>
                </w:p>
              </w:tc>
              <w:tc>
                <w:tcPr>
                  <w:tcW w:w="0" w:type="auto"/>
                  <w:tcBorders>
                    <w:bottom w:val="single" w:sz="6" w:space="0" w:color="D8DDEA"/>
                  </w:tcBorders>
                  <w:shd w:val="clear" w:color="auto" w:fill="FAFAFA"/>
                  <w:tcMar>
                    <w:top w:w="15" w:type="dxa"/>
                    <w:left w:w="0" w:type="dxa"/>
                    <w:bottom w:w="15" w:type="dxa"/>
                    <w:right w:w="0" w:type="dxa"/>
                  </w:tcMar>
                  <w:vAlign w:val="center"/>
                </w:tcPr>
                <w:p w14:paraId="603C6B7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-24.5</w:t>
                  </w:r>
                </w:p>
              </w:tc>
            </w:tr>
            <w:tr w:rsidR="00B16DFE" w14:paraId="7FF7601C"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629AF66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2017-18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6DEAE8F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16247</w:t>
                  </w:r>
                </w:p>
              </w:tc>
              <w:tc>
                <w:tcPr>
                  <w:tcW w:w="0" w:type="auto"/>
                  <w:tcBorders>
                    <w:bottom w:val="single" w:sz="6" w:space="0" w:color="D8DDEA"/>
                  </w:tcBorders>
                  <w:shd w:val="clear" w:color="auto" w:fill="FAFAFA"/>
                  <w:tcMar>
                    <w:top w:w="15" w:type="dxa"/>
                    <w:left w:w="0" w:type="dxa"/>
                    <w:bottom w:w="15" w:type="dxa"/>
                    <w:right w:w="0" w:type="dxa"/>
                  </w:tcMar>
                  <w:vAlign w:val="center"/>
                </w:tcPr>
                <w:p w14:paraId="67F7292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5.6</w:t>
                  </w:r>
                </w:p>
              </w:tc>
              <w:tc>
                <w:tcPr>
                  <w:tcW w:w="0" w:type="auto"/>
                  <w:tcBorders>
                    <w:bottom w:val="single" w:sz="6" w:space="0" w:color="D8DDEA"/>
                  </w:tcBorders>
                  <w:shd w:val="clear" w:color="auto" w:fill="FAFAFA"/>
                  <w:tcMar>
                    <w:top w:w="15" w:type="dxa"/>
                    <w:left w:w="0" w:type="dxa"/>
                    <w:bottom w:w="15" w:type="dxa"/>
                    <w:right w:w="0" w:type="dxa"/>
                  </w:tcMar>
                  <w:vAlign w:val="center"/>
                </w:tcPr>
                <w:p w14:paraId="0FF1F79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716</w:t>
                  </w:r>
                </w:p>
              </w:tc>
              <w:tc>
                <w:tcPr>
                  <w:tcW w:w="0" w:type="auto"/>
                  <w:tcBorders>
                    <w:bottom w:val="single" w:sz="6" w:space="0" w:color="D8DDEA"/>
                  </w:tcBorders>
                  <w:shd w:val="clear" w:color="auto" w:fill="FAFAFA"/>
                  <w:tcMar>
                    <w:top w:w="15" w:type="dxa"/>
                    <w:left w:w="0" w:type="dxa"/>
                    <w:bottom w:w="15" w:type="dxa"/>
                    <w:right w:w="0" w:type="dxa"/>
                  </w:tcMar>
                  <w:vAlign w:val="center"/>
                </w:tcPr>
                <w:p w14:paraId="50B30C9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13.3</w:t>
                  </w:r>
                </w:p>
              </w:tc>
            </w:tr>
            <w:tr w:rsidR="00B16DFE" w14:paraId="5E813AE7"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02F0F2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2018-19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3865241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16709</w:t>
                  </w:r>
                </w:p>
              </w:tc>
              <w:tc>
                <w:tcPr>
                  <w:tcW w:w="0" w:type="auto"/>
                  <w:tcBorders>
                    <w:bottom w:val="single" w:sz="6" w:space="0" w:color="D8DDEA"/>
                  </w:tcBorders>
                  <w:shd w:val="clear" w:color="auto" w:fill="FAFAFA"/>
                  <w:tcMar>
                    <w:top w:w="15" w:type="dxa"/>
                    <w:left w:w="0" w:type="dxa"/>
                    <w:bottom w:w="15" w:type="dxa"/>
                    <w:right w:w="0" w:type="dxa"/>
                  </w:tcMar>
                  <w:vAlign w:val="center"/>
                </w:tcPr>
                <w:p w14:paraId="1B2710F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2.8</w:t>
                  </w:r>
                </w:p>
              </w:tc>
              <w:tc>
                <w:tcPr>
                  <w:tcW w:w="0" w:type="auto"/>
                  <w:tcBorders>
                    <w:bottom w:val="single" w:sz="6" w:space="0" w:color="D8DDEA"/>
                  </w:tcBorders>
                  <w:shd w:val="clear" w:color="auto" w:fill="FAFAFA"/>
                  <w:tcMar>
                    <w:top w:w="15" w:type="dxa"/>
                    <w:left w:w="0" w:type="dxa"/>
                    <w:bottom w:w="15" w:type="dxa"/>
                    <w:right w:w="0" w:type="dxa"/>
                  </w:tcMar>
                  <w:vAlign w:val="center"/>
                </w:tcPr>
                <w:p w14:paraId="44C21EC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470</w:t>
                  </w:r>
                </w:p>
              </w:tc>
              <w:tc>
                <w:tcPr>
                  <w:tcW w:w="0" w:type="auto"/>
                  <w:tcBorders>
                    <w:bottom w:val="single" w:sz="6" w:space="0" w:color="D8DDEA"/>
                  </w:tcBorders>
                  <w:shd w:val="clear" w:color="auto" w:fill="FAFAFA"/>
                  <w:tcMar>
                    <w:top w:w="15" w:type="dxa"/>
                    <w:left w:w="0" w:type="dxa"/>
                    <w:bottom w:w="15" w:type="dxa"/>
                    <w:right w:w="0" w:type="dxa"/>
                  </w:tcMar>
                  <w:vAlign w:val="center"/>
                </w:tcPr>
                <w:p w14:paraId="6622C23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-34.4</w:t>
                  </w:r>
                </w:p>
              </w:tc>
            </w:tr>
            <w:tr w:rsidR="00B16DFE" w14:paraId="110B1275"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1EBD8CF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2019-20***</w:t>
                  </w:r>
                </w:p>
              </w:tc>
              <w:tc>
                <w:tcPr>
                  <w:tcW w:w="0" w:type="auto"/>
                  <w:tcBorders>
                    <w:bottom w:val="single" w:sz="6" w:space="0" w:color="D8DDEA"/>
                  </w:tcBorders>
                  <w:shd w:val="clear" w:color="auto" w:fill="FAFAFA"/>
                  <w:tcMar>
                    <w:top w:w="15" w:type="dxa"/>
                    <w:left w:w="0" w:type="dxa"/>
                    <w:bottom w:w="15" w:type="dxa"/>
                    <w:right w:w="0" w:type="dxa"/>
                  </w:tcMar>
                  <w:vAlign w:val="center"/>
                </w:tcPr>
                <w:p w14:paraId="68D6439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15270</w:t>
                  </w:r>
                </w:p>
              </w:tc>
              <w:tc>
                <w:tcPr>
                  <w:tcW w:w="0" w:type="auto"/>
                  <w:tcBorders>
                    <w:bottom w:val="single" w:sz="6" w:space="0" w:color="D8DDEA"/>
                  </w:tcBorders>
                  <w:shd w:val="clear" w:color="auto" w:fill="FAFAFA"/>
                  <w:tcMar>
                    <w:top w:w="15" w:type="dxa"/>
                    <w:left w:w="0" w:type="dxa"/>
                    <w:bottom w:w="15" w:type="dxa"/>
                    <w:right w:w="0" w:type="dxa"/>
                  </w:tcMar>
                  <w:vAlign w:val="center"/>
                </w:tcPr>
                <w:p w14:paraId="7EEBB97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-8.6</w:t>
                  </w:r>
                </w:p>
              </w:tc>
              <w:tc>
                <w:tcPr>
                  <w:tcW w:w="0" w:type="auto"/>
                  <w:tcBorders>
                    <w:bottom w:val="single" w:sz="6" w:space="0" w:color="D8DDEA"/>
                  </w:tcBorders>
                  <w:shd w:val="clear" w:color="auto" w:fill="FAFAFA"/>
                  <w:tcMar>
                    <w:top w:w="15" w:type="dxa"/>
                    <w:left w:w="0" w:type="dxa"/>
                    <w:bottom w:w="15" w:type="dxa"/>
                    <w:right w:w="0" w:type="dxa"/>
                  </w:tcMar>
                  <w:vAlign w:val="center"/>
                </w:tcPr>
                <w:p w14:paraId="3437F51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211</w:t>
                  </w:r>
                </w:p>
              </w:tc>
              <w:tc>
                <w:tcPr>
                  <w:tcW w:w="0" w:type="auto"/>
                  <w:tcBorders>
                    <w:bottom w:val="single" w:sz="6" w:space="0" w:color="D8DDEA"/>
                  </w:tcBorders>
                  <w:shd w:val="clear" w:color="auto" w:fill="FAFAFA"/>
                  <w:tcMar>
                    <w:top w:w="15" w:type="dxa"/>
                    <w:left w:w="0" w:type="dxa"/>
                    <w:bottom w:w="15" w:type="dxa"/>
                    <w:right w:w="0" w:type="dxa"/>
                  </w:tcMar>
                  <w:vAlign w:val="center"/>
                </w:tcPr>
                <w:p w14:paraId="61C3010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-55.1</w:t>
                  </w:r>
                </w:p>
              </w:tc>
            </w:tr>
            <w:tr w:rsidR="00B16DFE" w14:paraId="10EE8200"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70CFCCB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2020-21***</w:t>
                  </w:r>
                </w:p>
              </w:tc>
              <w:tc>
                <w:tcPr>
                  <w:tcW w:w="0" w:type="auto"/>
                  <w:tcBorders>
                    <w:bottom w:val="single" w:sz="6" w:space="0" w:color="D8DDEA"/>
                  </w:tcBorders>
                  <w:shd w:val="clear" w:color="auto" w:fill="FAFAFA"/>
                  <w:tcMar>
                    <w:top w:w="15" w:type="dxa"/>
                    <w:left w:w="0" w:type="dxa"/>
                    <w:bottom w:w="15" w:type="dxa"/>
                    <w:right w:w="0" w:type="dxa"/>
                  </w:tcMar>
                  <w:vAlign w:val="center"/>
                </w:tcPr>
                <w:p w14:paraId="6EEDB43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15409</w:t>
                  </w:r>
                </w:p>
              </w:tc>
              <w:tc>
                <w:tcPr>
                  <w:tcW w:w="0" w:type="auto"/>
                  <w:tcBorders>
                    <w:bottom w:val="single" w:sz="6" w:space="0" w:color="D8DDEA"/>
                  </w:tcBorders>
                  <w:shd w:val="clear" w:color="auto" w:fill="FAFAFA"/>
                  <w:tcMar>
                    <w:top w:w="15" w:type="dxa"/>
                    <w:left w:w="0" w:type="dxa"/>
                    <w:bottom w:w="15" w:type="dxa"/>
                    <w:right w:w="0" w:type="dxa"/>
                  </w:tcMar>
                  <w:vAlign w:val="center"/>
                </w:tcPr>
                <w:p w14:paraId="3027881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0.9</w:t>
                  </w:r>
                </w:p>
              </w:tc>
              <w:tc>
                <w:tcPr>
                  <w:tcW w:w="0" w:type="auto"/>
                  <w:tcBorders>
                    <w:bottom w:val="single" w:sz="6" w:space="0" w:color="D8DDEA"/>
                  </w:tcBorders>
                  <w:shd w:val="clear" w:color="auto" w:fill="FAFAFA"/>
                  <w:tcMar>
                    <w:top w:w="15" w:type="dxa"/>
                    <w:left w:w="0" w:type="dxa"/>
                    <w:bottom w:w="15" w:type="dxa"/>
                    <w:right w:w="0" w:type="dxa"/>
                  </w:tcMar>
                  <w:vAlign w:val="center"/>
                </w:tcPr>
                <w:p w14:paraId="779D63D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234</w:t>
                  </w:r>
                </w:p>
              </w:tc>
              <w:tc>
                <w:tcPr>
                  <w:tcW w:w="0" w:type="auto"/>
                  <w:tcBorders>
                    <w:bottom w:val="single" w:sz="6" w:space="0" w:color="D8DDEA"/>
                  </w:tcBorders>
                  <w:shd w:val="clear" w:color="auto" w:fill="FAFAFA"/>
                  <w:tcMar>
                    <w:top w:w="15" w:type="dxa"/>
                    <w:left w:w="0" w:type="dxa"/>
                    <w:bottom w:w="15" w:type="dxa"/>
                    <w:right w:w="0" w:type="dxa"/>
                  </w:tcMar>
                  <w:vAlign w:val="center"/>
                </w:tcPr>
                <w:p w14:paraId="6C0B84B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10.9</w:t>
                  </w:r>
                </w:p>
              </w:tc>
            </w:tr>
            <w:tr w:rsidR="00B16DFE" w14:paraId="30473619" w14:textId="77777777">
              <w:trPr>
                <w:tblCellSpacing w:w="0" w:type="dxa"/>
              </w:trPr>
              <w:tc>
                <w:tcPr>
                  <w:tcW w:w="0" w:type="auto"/>
                  <w:gridSpan w:val="5"/>
                  <w:shd w:val="clear" w:color="auto" w:fill="FFFFFF"/>
                  <w:tcMar>
                    <w:top w:w="15" w:type="dxa"/>
                    <w:left w:w="0" w:type="dxa"/>
                    <w:bottom w:w="15" w:type="dxa"/>
                    <w:right w:w="0" w:type="dxa"/>
                  </w:tcMar>
                  <w:vAlign w:val="center"/>
                </w:tcPr>
                <w:p w14:paraId="28FDEBAE" w14:textId="77777777" w:rsidR="00B16DFE" w:rsidRDefault="009F0859">
                  <w:pPr>
                    <w:keepNext/>
                    <w:keepLines/>
                    <w:shd w:val="clear" w:color="auto" w:fill="FFFFFF"/>
                    <w:spacing w:after="0" w:line="165" w:lineRule="atLeast"/>
                    <w:rPr>
                      <w:rFonts w:ascii="Arial" w:eastAsia="Arial" w:hAnsi="Arial" w:cs="Arial"/>
                      <w:sz w:val="16"/>
                      <w:szCs w:val="16"/>
                    </w:rPr>
                  </w:pPr>
                  <w:r>
                    <w:rPr>
                      <w:rFonts w:ascii="Arial" w:eastAsia="Arial" w:hAnsi="Arial" w:cs="Arial"/>
                      <w:sz w:val="14"/>
                      <w:szCs w:val="14"/>
                    </w:rPr>
                    <w:t>Source: Annual report and IBISWorld</w:t>
                  </w:r>
                </w:p>
              </w:tc>
            </w:tr>
            <w:tr w:rsidR="00B16DFE" w14:paraId="2910AA1E" w14:textId="77777777">
              <w:trPr>
                <w:tblCellSpacing w:w="0" w:type="dxa"/>
              </w:trPr>
              <w:tc>
                <w:tcPr>
                  <w:tcW w:w="0" w:type="auto"/>
                  <w:gridSpan w:val="5"/>
                  <w:shd w:val="clear" w:color="auto" w:fill="FFFFFF"/>
                  <w:tcMar>
                    <w:top w:w="15" w:type="dxa"/>
                    <w:left w:w="0" w:type="dxa"/>
                    <w:bottom w:w="15" w:type="dxa"/>
                    <w:right w:w="0" w:type="dxa"/>
                  </w:tcMar>
                  <w:vAlign w:val="center"/>
                </w:tcPr>
                <w:p w14:paraId="36F3264A" w14:textId="77777777" w:rsidR="00B16DFE" w:rsidRDefault="009F0859">
                  <w:pPr>
                    <w:keepNext/>
                    <w:keepLines/>
                    <w:shd w:val="clear" w:color="auto" w:fill="FFFFFF"/>
                    <w:spacing w:after="0" w:line="165" w:lineRule="atLeast"/>
                    <w:rPr>
                      <w:rFonts w:ascii="Arial" w:eastAsia="Arial" w:hAnsi="Arial" w:cs="Arial"/>
                      <w:sz w:val="16"/>
                      <w:szCs w:val="16"/>
                    </w:rPr>
                  </w:pPr>
                  <w:r>
                    <w:rPr>
                      <w:rFonts w:ascii="Arial" w:eastAsia="Arial" w:hAnsi="Arial" w:cs="Arial"/>
                      <w:sz w:val="14"/>
                      <w:szCs w:val="14"/>
                    </w:rPr>
                    <w:t xml:space="preserve">Note: *Converted from euros to </w:t>
                  </w:r>
                  <w:r>
                    <w:rPr>
                      <w:rFonts w:ascii="Arial" w:eastAsia="Arial" w:hAnsi="Arial" w:cs="Arial"/>
                      <w:sz w:val="14"/>
                      <w:szCs w:val="14"/>
                    </w:rPr>
                    <w:t>pounds using historical exchange rates **Year end September ***Estimate</w:t>
                  </w:r>
                </w:p>
              </w:tc>
            </w:tr>
          </w:tbl>
          <w:p w14:paraId="7F5B1471" w14:textId="77777777" w:rsidR="00B16DFE" w:rsidRDefault="00B16DFE"/>
        </w:tc>
      </w:tr>
    </w:tbl>
    <w:p w14:paraId="0C02559B" w14:textId="77777777" w:rsidR="00B16DFE" w:rsidRDefault="00B16DFE">
      <w:pPr>
        <w:spacing w:after="0"/>
        <w:rPr>
          <w:vanish/>
        </w:rPr>
      </w:pPr>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5F5D56C8" w14:textId="77777777">
        <w:tc>
          <w:tcPr>
            <w:tcW w:w="4000" w:type="pct"/>
            <w:gridSpan w:val="2"/>
          </w:tcPr>
          <w:p w14:paraId="509AD800" w14:textId="77777777" w:rsidR="00B16DFE" w:rsidRDefault="009F0859">
            <w:pPr>
              <w:keepNext/>
              <w:keepLines/>
              <w:spacing w:after="0" w:line="225" w:lineRule="atLeast"/>
              <w:rPr>
                <w:rFonts w:ascii="Arial" w:eastAsia="Arial" w:hAnsi="Arial" w:cs="Arial"/>
                <w:sz w:val="16"/>
                <w:szCs w:val="16"/>
              </w:rPr>
            </w:pPr>
            <w:r>
              <w:lastRenderedPageBreak/>
              <w:br/>
            </w:r>
          </w:p>
        </w:tc>
      </w:tr>
      <w:tr w:rsidR="00B16DFE" w14:paraId="7CD17A2E" w14:textId="77777777">
        <w:tc>
          <w:tcPr>
            <w:tcW w:w="1000" w:type="pct"/>
          </w:tcPr>
          <w:p w14:paraId="1AD72E3F" w14:textId="77777777" w:rsidR="00B16DFE" w:rsidRDefault="009F0859">
            <w:pPr>
              <w:pStyle w:val="Heading2"/>
              <w:spacing w:before="0" w:line="270" w:lineRule="atLeast"/>
              <w:rPr>
                <w:rFonts w:ascii="Arial" w:eastAsia="Arial" w:hAnsi="Arial" w:cs="Arial"/>
                <w:color w:val="333333"/>
                <w:spacing w:val="4"/>
                <w:sz w:val="21"/>
                <w:szCs w:val="21"/>
              </w:rPr>
            </w:pPr>
            <w:bookmarkStart w:id="28" w:name="_Toc29"/>
            <w:r>
              <w:rPr>
                <w:rFonts w:ascii="Arial" w:eastAsia="Arial" w:hAnsi="Arial" w:cs="Arial"/>
                <w:color w:val="333333"/>
                <w:spacing w:val="4"/>
                <w:sz w:val="21"/>
                <w:szCs w:val="21"/>
              </w:rPr>
              <w:t>Other Companies</w:t>
            </w:r>
            <w:bookmarkEnd w:id="28"/>
          </w:p>
        </w:tc>
        <w:tc>
          <w:tcPr>
            <w:tcW w:w="4000" w:type="pct"/>
          </w:tcPr>
          <w:p w14:paraId="4C15D677"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Expedia.com Ltd</w:t>
            </w:r>
          </w:p>
        </w:tc>
      </w:tr>
      <w:tr w:rsidR="00B16DFE" w14:paraId="627E204E" w14:textId="77777777">
        <w:tc>
          <w:tcPr>
            <w:tcW w:w="1000" w:type="pct"/>
          </w:tcPr>
          <w:p w14:paraId="0B492695"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1059DCF3"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Market Share: 0.8%</w:t>
            </w:r>
          </w:p>
        </w:tc>
      </w:tr>
      <w:tr w:rsidR="00B16DFE" w14:paraId="3AE42668" w14:textId="77777777">
        <w:tc>
          <w:tcPr>
            <w:tcW w:w="1000" w:type="pct"/>
          </w:tcPr>
          <w:p w14:paraId="1BAA3BDC"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6CC7337F"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Launched in the United Kingdom in 1998, Expedia is one of the world's largest online travel services, operating </w:t>
            </w:r>
            <w:r>
              <w:rPr>
                <w:rFonts w:ascii="Arial" w:eastAsia="Arial" w:hAnsi="Arial" w:cs="Arial"/>
                <w:sz w:val="16"/>
                <w:szCs w:val="16"/>
              </w:rPr>
              <w:t>through its branded websites that include Expedia.com, Hotels.com, Hotwire.com and more. Expedia is the largest online travel site in the United Kingdom. In March 2013, the company completed the acquisition of a majority interest in Trivago, in line with i</w:t>
            </w:r>
            <w:r>
              <w:rPr>
                <w:rFonts w:ascii="Arial" w:eastAsia="Arial" w:hAnsi="Arial" w:cs="Arial"/>
                <w:sz w:val="16"/>
                <w:szCs w:val="16"/>
              </w:rPr>
              <w:t>ts strategic focus to increase its global online presence and sales. In September 2014, Expedia Inc partnered with Citigroup and created the Expedia+ card, members of which can earn bonus points and earn benefits and priority customer service through the w</w:t>
            </w:r>
            <w:r>
              <w:rPr>
                <w:rFonts w:ascii="Arial" w:eastAsia="Arial" w:hAnsi="Arial" w:cs="Arial"/>
                <w:sz w:val="16"/>
                <w:szCs w:val="16"/>
              </w:rPr>
              <w:t>ebsite. Expedia continues to operate the successful Travel Agencies Affiliate Programme, which launched in October 2008, offering travel agents access to Expedia's deals for a commission.</w:t>
            </w:r>
          </w:p>
          <w:p w14:paraId="310F8167"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The company last reported revenue of £270.4 million for the year thr</w:t>
            </w:r>
            <w:r>
              <w:rPr>
                <w:rFonts w:ascii="Arial" w:eastAsia="Arial" w:hAnsi="Arial" w:cs="Arial"/>
                <w:sz w:val="16"/>
                <w:szCs w:val="16"/>
              </w:rPr>
              <w:t>ough December 2018. IBISWorld expects the company to report revenue of £252 million in the current year, as the coronavirus pandemic has lowered demand drastically. Profit margins for the company are also expected to fall during the year as Expedia has tem</w:t>
            </w:r>
            <w:r>
              <w:rPr>
                <w:rFonts w:ascii="Arial" w:eastAsia="Arial" w:hAnsi="Arial" w:cs="Arial"/>
                <w:sz w:val="16"/>
                <w:szCs w:val="16"/>
              </w:rPr>
              <w:t>porarily changed their refund and cancellation policy, to allow consumers to cancel or change the dates of their trip without losing their money.</w:t>
            </w:r>
          </w:p>
        </w:tc>
      </w:tr>
      <w:tr w:rsidR="00B16DFE" w14:paraId="61842B4B" w14:textId="77777777">
        <w:tc>
          <w:tcPr>
            <w:tcW w:w="1000" w:type="pct"/>
          </w:tcPr>
          <w:p w14:paraId="5DA24363" w14:textId="77777777" w:rsidR="00B16DFE" w:rsidRDefault="00B16DFE">
            <w:pPr>
              <w:keepNext/>
              <w:keepLines/>
            </w:pPr>
          </w:p>
        </w:tc>
        <w:tc>
          <w:tcPr>
            <w:tcW w:w="4000" w:type="pct"/>
          </w:tcPr>
          <w:p w14:paraId="3500247A" w14:textId="77777777" w:rsidR="00B16DFE" w:rsidRPr="002E0CCC" w:rsidRDefault="009F0859">
            <w:pPr>
              <w:pStyle w:val="Heading3"/>
              <w:spacing w:before="0" w:after="180" w:line="270" w:lineRule="atLeast"/>
              <w:rPr>
                <w:rFonts w:ascii="Arial" w:eastAsia="Arial" w:hAnsi="Arial" w:cs="Arial"/>
                <w:color w:val="000000"/>
                <w:sz w:val="18"/>
                <w:szCs w:val="18"/>
                <w:highlight w:val="yellow"/>
              </w:rPr>
            </w:pPr>
            <w:proofErr w:type="spellStart"/>
            <w:r w:rsidRPr="002E0CCC">
              <w:rPr>
                <w:rFonts w:ascii="Arial" w:eastAsia="Arial" w:hAnsi="Arial" w:cs="Arial"/>
                <w:color w:val="000000"/>
                <w:sz w:val="18"/>
                <w:szCs w:val="18"/>
                <w:highlight w:val="yellow"/>
              </w:rPr>
              <w:t>Trailfinders</w:t>
            </w:r>
            <w:proofErr w:type="spellEnd"/>
            <w:r w:rsidRPr="002E0CCC">
              <w:rPr>
                <w:rFonts w:ascii="Arial" w:eastAsia="Arial" w:hAnsi="Arial" w:cs="Arial"/>
                <w:color w:val="000000"/>
                <w:sz w:val="18"/>
                <w:szCs w:val="18"/>
                <w:highlight w:val="yellow"/>
              </w:rPr>
              <w:t xml:space="preserve"> Ltd</w:t>
            </w:r>
          </w:p>
        </w:tc>
      </w:tr>
      <w:tr w:rsidR="00B16DFE" w14:paraId="39A3E500" w14:textId="77777777">
        <w:tc>
          <w:tcPr>
            <w:tcW w:w="1000" w:type="pct"/>
          </w:tcPr>
          <w:p w14:paraId="267DC752"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42545DEB" w14:textId="77777777" w:rsidR="00B16DFE" w:rsidRPr="002E0CCC" w:rsidRDefault="009F0859">
            <w:pPr>
              <w:keepNext/>
              <w:keepLines/>
              <w:spacing w:after="0" w:line="225" w:lineRule="atLeast"/>
              <w:rPr>
                <w:rFonts w:ascii="Arial" w:eastAsia="Arial" w:hAnsi="Arial" w:cs="Arial"/>
                <w:sz w:val="16"/>
                <w:szCs w:val="16"/>
                <w:highlight w:val="yellow"/>
              </w:rPr>
            </w:pPr>
            <w:r w:rsidRPr="002E0CCC">
              <w:rPr>
                <w:rFonts w:ascii="Arial" w:eastAsia="Arial" w:hAnsi="Arial" w:cs="Arial"/>
                <w:sz w:val="16"/>
                <w:szCs w:val="16"/>
                <w:highlight w:val="yellow"/>
              </w:rPr>
              <w:t>Market Share: 0.8%</w:t>
            </w:r>
          </w:p>
        </w:tc>
      </w:tr>
      <w:tr w:rsidR="00B16DFE" w14:paraId="481E53EB" w14:textId="77777777">
        <w:tc>
          <w:tcPr>
            <w:tcW w:w="1000" w:type="pct"/>
          </w:tcPr>
          <w:p w14:paraId="5F9508AA"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737A4F86" w14:textId="77777777" w:rsidR="00B16DFE" w:rsidRPr="002E0CCC" w:rsidRDefault="009F0859">
            <w:pPr>
              <w:keepNext/>
              <w:keepLines/>
              <w:spacing w:after="180" w:line="225" w:lineRule="atLeast"/>
              <w:rPr>
                <w:rFonts w:ascii="Arial" w:eastAsia="Arial" w:hAnsi="Arial" w:cs="Arial"/>
                <w:sz w:val="16"/>
                <w:szCs w:val="16"/>
                <w:highlight w:val="yellow"/>
              </w:rPr>
            </w:pPr>
            <w:proofErr w:type="spellStart"/>
            <w:r w:rsidRPr="002E0CCC">
              <w:rPr>
                <w:rFonts w:ascii="Arial" w:eastAsia="Arial" w:hAnsi="Arial" w:cs="Arial"/>
                <w:sz w:val="16"/>
                <w:szCs w:val="16"/>
                <w:highlight w:val="yellow"/>
              </w:rPr>
              <w:t>Trailfinders</w:t>
            </w:r>
            <w:proofErr w:type="spellEnd"/>
            <w:r w:rsidRPr="002E0CCC">
              <w:rPr>
                <w:rFonts w:ascii="Arial" w:eastAsia="Arial" w:hAnsi="Arial" w:cs="Arial"/>
                <w:sz w:val="16"/>
                <w:szCs w:val="16"/>
                <w:highlight w:val="yellow"/>
              </w:rPr>
              <w:t xml:space="preserve"> is one of the largest independent travel companies in</w:t>
            </w:r>
            <w:r w:rsidRPr="002E0CCC">
              <w:rPr>
                <w:rFonts w:ascii="Arial" w:eastAsia="Arial" w:hAnsi="Arial" w:cs="Arial"/>
                <w:sz w:val="16"/>
                <w:szCs w:val="16"/>
                <w:highlight w:val="yellow"/>
              </w:rPr>
              <w:t xml:space="preserve"> the United Kingdom. Founded in 1970, the company has grown to operate 38 travel centres with over 1,000 staff. The company offers bespoke services from its travel consultants and specialises in tailor-made itineraries. This company's niche offerings exten</w:t>
            </w:r>
            <w:r w:rsidRPr="002E0CCC">
              <w:rPr>
                <w:rFonts w:ascii="Arial" w:eastAsia="Arial" w:hAnsi="Arial" w:cs="Arial"/>
                <w:sz w:val="16"/>
                <w:szCs w:val="16"/>
                <w:highlight w:val="yellow"/>
              </w:rPr>
              <w:t>d to both the luxury and standard travel sectors. The company opened their 38th branch in Winchester on 9 March 2020, despite ongoing uncertainty as a result of the global pandemic.</w:t>
            </w:r>
          </w:p>
          <w:p w14:paraId="3649CBDB" w14:textId="77777777" w:rsidR="00B16DFE" w:rsidRPr="002E0CCC" w:rsidRDefault="009F0859">
            <w:pPr>
              <w:keepNext/>
              <w:keepLines/>
              <w:spacing w:after="120" w:line="225" w:lineRule="atLeast"/>
              <w:rPr>
                <w:rFonts w:ascii="Arial" w:eastAsia="Arial" w:hAnsi="Arial" w:cs="Arial"/>
                <w:sz w:val="16"/>
                <w:szCs w:val="16"/>
                <w:highlight w:val="yellow"/>
              </w:rPr>
            </w:pPr>
            <w:r w:rsidRPr="002E0CCC">
              <w:rPr>
                <w:rFonts w:ascii="Arial" w:eastAsia="Arial" w:hAnsi="Arial" w:cs="Arial"/>
                <w:sz w:val="16"/>
                <w:szCs w:val="16"/>
                <w:highlight w:val="yellow"/>
              </w:rPr>
              <w:t xml:space="preserve">The company last reported revenue of £762.2 million over the year through </w:t>
            </w:r>
            <w:r w:rsidRPr="002E0CCC">
              <w:rPr>
                <w:rFonts w:ascii="Arial" w:eastAsia="Arial" w:hAnsi="Arial" w:cs="Arial"/>
                <w:sz w:val="16"/>
                <w:szCs w:val="16"/>
                <w:highlight w:val="yellow"/>
              </w:rPr>
              <w:t xml:space="preserve">February 2020, meaning the full effect of the coronavirus pandemic on the company's revenue is expected to be seen in 2020-21. A significant proportion of the company's revenue does not derive from travel agency operations and is therefore not included in </w:t>
            </w:r>
            <w:r w:rsidRPr="002E0CCC">
              <w:rPr>
                <w:rFonts w:ascii="Arial" w:eastAsia="Arial" w:hAnsi="Arial" w:cs="Arial"/>
                <w:sz w:val="16"/>
                <w:szCs w:val="16"/>
                <w:highlight w:val="yellow"/>
              </w:rPr>
              <w:t>the industry. It is expected that industry-related revenue will fall to £274 million in 2020-21 due to the coronavirus pandemic's negative affect on downstream demand.</w:t>
            </w:r>
          </w:p>
        </w:tc>
      </w:tr>
      <w:tr w:rsidR="00B16DFE" w14:paraId="1E8902C4" w14:textId="77777777">
        <w:tc>
          <w:tcPr>
            <w:tcW w:w="1000" w:type="pct"/>
          </w:tcPr>
          <w:p w14:paraId="4E864386" w14:textId="77777777" w:rsidR="00B16DFE" w:rsidRDefault="00B16DFE">
            <w:pPr>
              <w:keepNext/>
              <w:keepLines/>
            </w:pPr>
          </w:p>
        </w:tc>
        <w:tc>
          <w:tcPr>
            <w:tcW w:w="4000" w:type="pct"/>
          </w:tcPr>
          <w:p w14:paraId="0FD94DC4"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Flight Centre (UK) Ltd</w:t>
            </w:r>
          </w:p>
        </w:tc>
      </w:tr>
      <w:tr w:rsidR="00B16DFE" w14:paraId="3FEB1DDF" w14:textId="77777777">
        <w:tc>
          <w:tcPr>
            <w:tcW w:w="1000" w:type="pct"/>
          </w:tcPr>
          <w:p w14:paraId="093BD347"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5724F580"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Market Share: 0.7%</w:t>
            </w:r>
          </w:p>
        </w:tc>
      </w:tr>
      <w:tr w:rsidR="00B16DFE" w14:paraId="767F72D4" w14:textId="77777777">
        <w:tc>
          <w:tcPr>
            <w:tcW w:w="1000" w:type="pct"/>
          </w:tcPr>
          <w:p w14:paraId="39E5BCD8"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3D8A7339"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Flight Centre Ltd is an </w:t>
            </w:r>
            <w:r>
              <w:rPr>
                <w:rFonts w:ascii="Arial" w:eastAsia="Arial" w:hAnsi="Arial" w:cs="Arial"/>
                <w:sz w:val="16"/>
                <w:szCs w:val="16"/>
              </w:rPr>
              <w:t xml:space="preserve">Australian public-listed company that provides travel agency services. The company is administrated from its head office in Brisbane and has approximately 1,300 stores throughout its operations in Australia, New Zealand, the United Kingdom, North America, </w:t>
            </w:r>
            <w:r>
              <w:rPr>
                <w:rFonts w:ascii="Arial" w:eastAsia="Arial" w:hAnsi="Arial" w:cs="Arial"/>
                <w:sz w:val="16"/>
                <w:szCs w:val="16"/>
              </w:rPr>
              <w:t>Asia and South Africa. Over 80 of these are located within the United Kingdom. The United Kingdom is Flight Centre's third largest market after Australia and the United States. The company tends to market itself to long-haul leisure travellers and to peopl</w:t>
            </w:r>
            <w:r>
              <w:rPr>
                <w:rFonts w:ascii="Arial" w:eastAsia="Arial" w:hAnsi="Arial" w:cs="Arial"/>
                <w:sz w:val="16"/>
                <w:szCs w:val="16"/>
              </w:rPr>
              <w:t>e seeking integrated business travel services. Flight Centre (UK) last reported revenue of £263.7 million during the year through June 2019.</w:t>
            </w:r>
          </w:p>
          <w:p w14:paraId="037339DD"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Flight Centre has made one-third of its global workforce temporarily or permanently redundant as a result of the co</w:t>
            </w:r>
            <w:r>
              <w:rPr>
                <w:rFonts w:ascii="Arial" w:eastAsia="Arial" w:hAnsi="Arial" w:cs="Arial"/>
                <w:sz w:val="16"/>
                <w:szCs w:val="16"/>
              </w:rPr>
              <w:t xml:space="preserve">ronavirus pandemic. The travel agent employs 20,000 people. In total 6,000 sales and support staff will be stood </w:t>
            </w:r>
            <w:proofErr w:type="spellStart"/>
            <w:proofErr w:type="gramStart"/>
            <w:r>
              <w:rPr>
                <w:rFonts w:ascii="Arial" w:eastAsia="Arial" w:hAnsi="Arial" w:cs="Arial"/>
                <w:sz w:val="16"/>
                <w:szCs w:val="16"/>
              </w:rPr>
              <w:t>down.IBISWorld</w:t>
            </w:r>
            <w:proofErr w:type="spellEnd"/>
            <w:proofErr w:type="gramEnd"/>
            <w:r>
              <w:rPr>
                <w:rFonts w:ascii="Arial" w:eastAsia="Arial" w:hAnsi="Arial" w:cs="Arial"/>
                <w:sz w:val="16"/>
                <w:szCs w:val="16"/>
              </w:rPr>
              <w:t xml:space="preserve"> expects Flight Centre (UK) Ltd to generate revenue of £218 million in 2020-21.</w:t>
            </w:r>
          </w:p>
        </w:tc>
      </w:tr>
      <w:tr w:rsidR="00B16DFE" w14:paraId="1160DF7A" w14:textId="77777777">
        <w:tc>
          <w:tcPr>
            <w:tcW w:w="1000" w:type="pct"/>
          </w:tcPr>
          <w:p w14:paraId="12651AEA" w14:textId="77777777" w:rsidR="00B16DFE" w:rsidRDefault="00B16DFE">
            <w:pPr>
              <w:keepNext/>
              <w:keepLines/>
            </w:pPr>
          </w:p>
        </w:tc>
        <w:tc>
          <w:tcPr>
            <w:tcW w:w="4000" w:type="pct"/>
          </w:tcPr>
          <w:p w14:paraId="4BC64C10"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Hays Travel Ltd</w:t>
            </w:r>
          </w:p>
        </w:tc>
      </w:tr>
      <w:tr w:rsidR="00B16DFE" w14:paraId="5F84F834" w14:textId="77777777">
        <w:tc>
          <w:tcPr>
            <w:tcW w:w="1000" w:type="pct"/>
          </w:tcPr>
          <w:p w14:paraId="4C6A00BE"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19AB666C"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Market Share: 0.7%</w:t>
            </w:r>
          </w:p>
        </w:tc>
      </w:tr>
      <w:tr w:rsidR="00B16DFE" w14:paraId="314A2E2F" w14:textId="77777777">
        <w:tc>
          <w:tcPr>
            <w:tcW w:w="1000" w:type="pct"/>
          </w:tcPr>
          <w:p w14:paraId="0B32BADC"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343746D7"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Hays Travel is the UK's largest independent travel agent that is not affiliated with any tour operators. The company has approximately 650 shops and employs over 5,700 people, following the recruitment of 2,300 former Thomas Cook shop staff after taking on</w:t>
            </w:r>
            <w:r>
              <w:rPr>
                <w:rFonts w:ascii="Arial" w:eastAsia="Arial" w:hAnsi="Arial" w:cs="Arial"/>
                <w:sz w:val="16"/>
                <w:szCs w:val="16"/>
              </w:rPr>
              <w:t xml:space="preserve"> the leases to occupy all 553 of its shops after the company's collapse in September 2019. It also recruited 200 additional staff for its head office in Sunderland. The company has a large presence in the North East of England, with two call centres in the</w:t>
            </w:r>
            <w:r>
              <w:rPr>
                <w:rFonts w:ascii="Arial" w:eastAsia="Arial" w:hAnsi="Arial" w:cs="Arial"/>
                <w:sz w:val="16"/>
                <w:szCs w:val="16"/>
              </w:rPr>
              <w:t xml:space="preserve"> region in addition to the headquarters.</w:t>
            </w:r>
          </w:p>
          <w:p w14:paraId="47A5736E"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The company last reported revenue of £240.6 million for the year through October 2019. The coronavirus pandemic resulted in 880 Hays staff being put on zero-hour contracts, with all other employees having their hour</w:t>
            </w:r>
            <w:r>
              <w:rPr>
                <w:rFonts w:ascii="Arial" w:eastAsia="Arial" w:hAnsi="Arial" w:cs="Arial"/>
                <w:sz w:val="16"/>
                <w:szCs w:val="16"/>
              </w:rPr>
              <w:t>s reduced for the four weeks from 20 March 2020. In August 2020, Hays Travel revealed that it was in discussions with 878 employees who they view as 'at risk of redundancy' as a result of a fall in demand, though the company is not considering store closur</w:t>
            </w:r>
            <w:r>
              <w:rPr>
                <w:rFonts w:ascii="Arial" w:eastAsia="Arial" w:hAnsi="Arial" w:cs="Arial"/>
                <w:sz w:val="16"/>
                <w:szCs w:val="16"/>
              </w:rPr>
              <w:t>es at this stage. IBISWorld expects company revenue to fall to £204.8 million in 2020-21 as reduced demand due to the coronavirus outbreak affects the business.</w:t>
            </w:r>
          </w:p>
        </w:tc>
      </w:tr>
      <w:tr w:rsidR="00B16DFE" w14:paraId="093FA2A6" w14:textId="77777777">
        <w:tc>
          <w:tcPr>
            <w:tcW w:w="1000" w:type="pct"/>
          </w:tcPr>
          <w:p w14:paraId="05DA9825" w14:textId="77777777" w:rsidR="00B16DFE" w:rsidRDefault="00B16DFE">
            <w:pPr>
              <w:keepNext/>
              <w:keepLines/>
            </w:pPr>
          </w:p>
        </w:tc>
        <w:tc>
          <w:tcPr>
            <w:tcW w:w="4000" w:type="pct"/>
          </w:tcPr>
          <w:p w14:paraId="2E0B7977"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Kuoni Global Travel Services (UK) Ltd</w:t>
            </w:r>
          </w:p>
        </w:tc>
      </w:tr>
      <w:tr w:rsidR="00B16DFE" w14:paraId="10C58C1A" w14:textId="77777777">
        <w:tc>
          <w:tcPr>
            <w:tcW w:w="1000" w:type="pct"/>
          </w:tcPr>
          <w:p w14:paraId="694F7AAA"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2921CD16"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Market Share: 0.1%</w:t>
            </w:r>
          </w:p>
        </w:tc>
      </w:tr>
      <w:tr w:rsidR="00B16DFE" w14:paraId="18A05B59" w14:textId="77777777">
        <w:tc>
          <w:tcPr>
            <w:tcW w:w="1000" w:type="pct"/>
          </w:tcPr>
          <w:p w14:paraId="059C8363"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60691A72"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The Kuoni Group is an </w:t>
            </w:r>
            <w:r>
              <w:rPr>
                <w:rFonts w:ascii="Arial" w:eastAsia="Arial" w:hAnsi="Arial" w:cs="Arial"/>
                <w:sz w:val="16"/>
                <w:szCs w:val="16"/>
              </w:rPr>
              <w:t xml:space="preserve">international company with almost 12,000 full-time employees and business operations in 120 countries. It is headquartered in </w:t>
            </w:r>
            <w:proofErr w:type="gramStart"/>
            <w:r>
              <w:rPr>
                <w:rFonts w:ascii="Arial" w:eastAsia="Arial" w:hAnsi="Arial" w:cs="Arial"/>
                <w:sz w:val="16"/>
                <w:szCs w:val="16"/>
              </w:rPr>
              <w:t>Zurich, and</w:t>
            </w:r>
            <w:proofErr w:type="gramEnd"/>
            <w:r>
              <w:rPr>
                <w:rFonts w:ascii="Arial" w:eastAsia="Arial" w:hAnsi="Arial" w:cs="Arial"/>
                <w:sz w:val="16"/>
                <w:szCs w:val="16"/>
              </w:rPr>
              <w:t xml:space="preserve"> is the biggest travel company in Switzerland. The Kuoni UK tour operation was established in 1966, specialising in lux</w:t>
            </w:r>
            <w:r>
              <w:rPr>
                <w:rFonts w:ascii="Arial" w:eastAsia="Arial" w:hAnsi="Arial" w:cs="Arial"/>
                <w:sz w:val="16"/>
                <w:szCs w:val="16"/>
              </w:rPr>
              <w:t xml:space="preserve">ury and tailor-made travel for both business and consumer markets, as well </w:t>
            </w:r>
            <w:r>
              <w:rPr>
                <w:rFonts w:ascii="Arial" w:eastAsia="Arial" w:hAnsi="Arial" w:cs="Arial"/>
                <w:sz w:val="16"/>
                <w:szCs w:val="16"/>
              </w:rPr>
              <w:lastRenderedPageBreak/>
              <w:t>as related services such as visa processing. In 2012, Kuoni formed an arrangement with luxury department store John Lewis to become its exclusive travel partner, under which new sto</w:t>
            </w:r>
            <w:r>
              <w:rPr>
                <w:rFonts w:ascii="Arial" w:eastAsia="Arial" w:hAnsi="Arial" w:cs="Arial"/>
                <w:sz w:val="16"/>
                <w:szCs w:val="16"/>
              </w:rPr>
              <w:t>res were opened in various branches of John Lewis across the country. The company last reported revenue of £16.1 million for 2018.</w:t>
            </w:r>
          </w:p>
          <w:p w14:paraId="3B286B12"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Kuoni confirmed 70 head office and retail staff redundancies on 20 March 2020 before the government's announcement of its Cor</w:t>
            </w:r>
            <w:r>
              <w:rPr>
                <w:rFonts w:ascii="Arial" w:eastAsia="Arial" w:hAnsi="Arial" w:cs="Arial"/>
                <w:sz w:val="16"/>
                <w:szCs w:val="16"/>
              </w:rPr>
              <w:t>onavirus Job Retention Scheme; on 1 April 2020, staff who left the business were brought back into the business and then furloughed. A core operational and support team made up of only those staff needed to maintain smooth operations, with the remaining st</w:t>
            </w:r>
            <w:r>
              <w:rPr>
                <w:rFonts w:ascii="Arial" w:eastAsia="Arial" w:hAnsi="Arial" w:cs="Arial"/>
                <w:sz w:val="16"/>
                <w:szCs w:val="16"/>
              </w:rPr>
              <w:t>aff was furloughed from 1 April 2020. IBISWorld expects Kuoni Global Travel Services (UK) Ltd to generate revenue of £14.6 million in 2020-21.</w:t>
            </w:r>
          </w:p>
        </w:tc>
      </w:tr>
      <w:tr w:rsidR="00B16DFE" w14:paraId="705B111A" w14:textId="77777777">
        <w:tc>
          <w:tcPr>
            <w:tcW w:w="1000" w:type="pct"/>
          </w:tcPr>
          <w:p w14:paraId="5ADD1596" w14:textId="77777777" w:rsidR="00B16DFE" w:rsidRDefault="00B16DFE">
            <w:pPr>
              <w:keepNext/>
              <w:keepLines/>
            </w:pPr>
          </w:p>
        </w:tc>
        <w:tc>
          <w:tcPr>
            <w:tcW w:w="4000" w:type="pct"/>
          </w:tcPr>
          <w:p w14:paraId="6E91F46E" w14:textId="77777777" w:rsidR="00B16DFE" w:rsidRDefault="009F0859">
            <w:pPr>
              <w:pStyle w:val="Heading3"/>
              <w:spacing w:before="0" w:after="180" w:line="270" w:lineRule="atLeast"/>
              <w:rPr>
                <w:rFonts w:ascii="Arial" w:eastAsia="Arial" w:hAnsi="Arial" w:cs="Arial"/>
                <w:color w:val="000000"/>
                <w:sz w:val="18"/>
                <w:szCs w:val="18"/>
              </w:rPr>
            </w:pPr>
            <w:r>
              <w:rPr>
                <w:rFonts w:ascii="Arial" w:eastAsia="Arial" w:hAnsi="Arial" w:cs="Arial"/>
                <w:color w:val="000000"/>
                <w:sz w:val="18"/>
                <w:szCs w:val="18"/>
              </w:rPr>
              <w:t>Thomas Cook Group plc</w:t>
            </w:r>
          </w:p>
        </w:tc>
      </w:tr>
      <w:tr w:rsidR="00B16DFE" w14:paraId="5421DA6D" w14:textId="77777777">
        <w:tc>
          <w:tcPr>
            <w:tcW w:w="1000" w:type="pct"/>
          </w:tcPr>
          <w:p w14:paraId="70ABF712"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10326BA6"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Thomas Cook Group plc was one of the world's leading leisure travel groups, </w:t>
            </w:r>
            <w:r>
              <w:rPr>
                <w:rFonts w:ascii="Arial" w:eastAsia="Arial" w:hAnsi="Arial" w:cs="Arial"/>
                <w:sz w:val="16"/>
                <w:szCs w:val="16"/>
              </w:rPr>
              <w:t>recording revenue of £9.6 billion for the year through September 2018. Thomas Cook employed approximately 9,300 individuals in the United Kingdom and operated from 16 countries, serving 20 million customers. Thomas Cook originated in 1841, however the comp</w:t>
            </w:r>
            <w:r>
              <w:rPr>
                <w:rFonts w:ascii="Arial" w:eastAsia="Arial" w:hAnsi="Arial" w:cs="Arial"/>
                <w:sz w:val="16"/>
                <w:szCs w:val="16"/>
              </w:rPr>
              <w:t>any's most recent incarnation came into being in early 2007, when Thomas Cook AG bought out the European travel services provider MyTravel Group for £3 billion. The new company was renamed Thomas Cook Group plc and was headquartered in London.</w:t>
            </w:r>
          </w:p>
          <w:p w14:paraId="79586763"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Thomas </w:t>
            </w:r>
            <w:r>
              <w:rPr>
                <w:rFonts w:ascii="Arial" w:eastAsia="Arial" w:hAnsi="Arial" w:cs="Arial"/>
                <w:sz w:val="16"/>
                <w:szCs w:val="16"/>
              </w:rPr>
              <w:t>Cook operated in the industry through two main subsidiaries: Thomas Cook Tour Operations Ltd and Thomas Cook Scheduled Tour Operations Ltd. Both companies were subsidiaries of the Thomas Cook Group plc. The company's brands in the tour operator segment inc</w:t>
            </w:r>
            <w:r>
              <w:rPr>
                <w:rFonts w:ascii="Arial" w:eastAsia="Arial" w:hAnsi="Arial" w:cs="Arial"/>
                <w:sz w:val="16"/>
                <w:szCs w:val="16"/>
              </w:rPr>
              <w:t xml:space="preserve">luded Thomas Cook Signature, Cresta Holidays, </w:t>
            </w:r>
            <w:proofErr w:type="spellStart"/>
            <w:r>
              <w:rPr>
                <w:rFonts w:ascii="Arial" w:eastAsia="Arial" w:hAnsi="Arial" w:cs="Arial"/>
                <w:sz w:val="16"/>
                <w:szCs w:val="16"/>
              </w:rPr>
              <w:t>Sunworld</w:t>
            </w:r>
            <w:proofErr w:type="spellEnd"/>
            <w:r>
              <w:rPr>
                <w:rFonts w:ascii="Arial" w:eastAsia="Arial" w:hAnsi="Arial" w:cs="Arial"/>
                <w:sz w:val="16"/>
                <w:szCs w:val="16"/>
              </w:rPr>
              <w:t xml:space="preserve"> Holidays and Direct Holidays.</w:t>
            </w:r>
          </w:p>
          <w:p w14:paraId="4F8347FC"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Starting in 2012-13, Thomas Cook underwent significant reorganisation. As a result, it disposed of its North American business in May 2013. In November 2013, the company a</w:t>
            </w:r>
            <w:r>
              <w:rPr>
                <w:rFonts w:ascii="Arial" w:eastAsia="Arial" w:hAnsi="Arial" w:cs="Arial"/>
                <w:sz w:val="16"/>
                <w:szCs w:val="16"/>
              </w:rPr>
              <w:t>nnounced that it had agreed to sell Neilson Active Holidays. The subsidiary generated £84 million of revenue in the year through September 2012 but also recorded a loss of £9.9 million. Thomas Cook also sold a 50% share in Thomas Cook Personal Finance, thr</w:t>
            </w:r>
            <w:r>
              <w:rPr>
                <w:rFonts w:ascii="Arial" w:eastAsia="Arial" w:hAnsi="Arial" w:cs="Arial"/>
                <w:sz w:val="16"/>
                <w:szCs w:val="16"/>
              </w:rPr>
              <w:t xml:space="preserve">ee London Foreign Exchange Bureaux, and its businesses in Egypt and Lebanon. In 2014, the company agreed to sell its UK corporate travel business Co-operative Travel Management for £13.5 million to the Al </w:t>
            </w:r>
            <w:proofErr w:type="spellStart"/>
            <w:r>
              <w:rPr>
                <w:rFonts w:ascii="Arial" w:eastAsia="Arial" w:hAnsi="Arial" w:cs="Arial"/>
                <w:sz w:val="16"/>
                <w:szCs w:val="16"/>
              </w:rPr>
              <w:t>Tayyar</w:t>
            </w:r>
            <w:proofErr w:type="spellEnd"/>
            <w:r>
              <w:rPr>
                <w:rFonts w:ascii="Arial" w:eastAsia="Arial" w:hAnsi="Arial" w:cs="Arial"/>
                <w:sz w:val="16"/>
                <w:szCs w:val="16"/>
              </w:rPr>
              <w:t xml:space="preserve"> Travel Group.</w:t>
            </w:r>
          </w:p>
          <w:p w14:paraId="7A6D74AC"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Following weak demand and econ</w:t>
            </w:r>
            <w:r>
              <w:rPr>
                <w:rFonts w:ascii="Arial" w:eastAsia="Arial" w:hAnsi="Arial" w:cs="Arial"/>
                <w:sz w:val="16"/>
                <w:szCs w:val="16"/>
              </w:rPr>
              <w:t xml:space="preserve">omic uncertainty in the first half of 2019, the Chinese firm </w:t>
            </w:r>
            <w:proofErr w:type="spellStart"/>
            <w:r>
              <w:rPr>
                <w:rFonts w:ascii="Arial" w:eastAsia="Arial" w:hAnsi="Arial" w:cs="Arial"/>
                <w:sz w:val="16"/>
                <w:szCs w:val="16"/>
              </w:rPr>
              <w:t>Fosun</w:t>
            </w:r>
            <w:proofErr w:type="spellEnd"/>
            <w:r>
              <w:rPr>
                <w:rFonts w:ascii="Arial" w:eastAsia="Arial" w:hAnsi="Arial" w:cs="Arial"/>
                <w:sz w:val="16"/>
                <w:szCs w:val="16"/>
              </w:rPr>
              <w:t xml:space="preserve"> acquired at least 75% of the groups tour operations and 25% of Thomas Cook Airlines for £450 million. The total rescue deal for the company was expected to total £900 million following an a</w:t>
            </w:r>
            <w:r>
              <w:rPr>
                <w:rFonts w:ascii="Arial" w:eastAsia="Arial" w:hAnsi="Arial" w:cs="Arial"/>
                <w:sz w:val="16"/>
                <w:szCs w:val="16"/>
              </w:rPr>
              <w:t>dditional £450 million injection from Thomas Cook's creditors. However, it was announced that talks to produce a funding lifeline for the company had failed and, as a result, Thomas Cook ceased trading in September 2019.</w:t>
            </w:r>
          </w:p>
        </w:tc>
      </w:tr>
    </w:tbl>
    <w:p w14:paraId="31C56FD3" w14:textId="77777777" w:rsidR="00B16DFE" w:rsidRDefault="00B16DFE">
      <w:pPr>
        <w:sectPr w:rsidR="00B16DFE">
          <w:headerReference w:type="default" r:id="rId79"/>
          <w:footerReference w:type="default" r:id="rId80"/>
          <w:pgSz w:w="11907" w:h="16839" w:code="9"/>
          <w:pgMar w:top="640" w:right="640" w:bottom="640" w:left="640" w:header="0" w:footer="0" w:gutter="0"/>
          <w:cols w:space="708"/>
          <w:docGrid w:linePitch="360"/>
        </w:sectPr>
      </w:pPr>
    </w:p>
    <w:p w14:paraId="7E5FBE86" w14:textId="77777777" w:rsidR="00B16DFE" w:rsidRDefault="009F0859">
      <w:pPr>
        <w:pStyle w:val="Heading1"/>
        <w:spacing w:before="0" w:after="240" w:line="420" w:lineRule="atLeast"/>
        <w:rPr>
          <w:rFonts w:ascii="Arial" w:eastAsia="Arial" w:hAnsi="Arial" w:cs="Arial"/>
          <w:b w:val="0"/>
          <w:bCs w:val="0"/>
          <w:color w:val="333333"/>
          <w:sz w:val="36"/>
          <w:szCs w:val="36"/>
        </w:rPr>
      </w:pPr>
      <w:bookmarkStart w:id="29" w:name="_Toc30"/>
      <w:r>
        <w:rPr>
          <w:rFonts w:ascii="Arial" w:eastAsia="Arial" w:hAnsi="Arial" w:cs="Arial"/>
          <w:b w:val="0"/>
          <w:bCs w:val="0"/>
          <w:color w:val="333333"/>
          <w:sz w:val="36"/>
          <w:szCs w:val="36"/>
        </w:rPr>
        <w:lastRenderedPageBreak/>
        <w:t>Operating Conditions</w:t>
      </w:r>
      <w:bookmarkEnd w:id="29"/>
    </w:p>
    <w:tbl>
      <w:tblPr>
        <w:tblW w:w="5000" w:type="pct"/>
        <w:tblBorders>
          <w:top w:val="nil"/>
          <w:left w:val="nil"/>
          <w:bottom w:val="nil"/>
          <w:right w:val="nil"/>
          <w:insideH w:val="nil"/>
          <w:insideV w:val="nil"/>
        </w:tblBorders>
        <w:tblLook w:val="04A0" w:firstRow="1" w:lastRow="0" w:firstColumn="1" w:lastColumn="0" w:noHBand="0" w:noVBand="1"/>
      </w:tblPr>
      <w:tblGrid>
        <w:gridCol w:w="2169"/>
        <w:gridCol w:w="8674"/>
      </w:tblGrid>
      <w:tr w:rsidR="00B16DFE" w14:paraId="0B5151DB" w14:textId="77777777">
        <w:tc>
          <w:tcPr>
            <w:tcW w:w="1000" w:type="pct"/>
          </w:tcPr>
          <w:p w14:paraId="3A1D28D2"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0BB3C9CC"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51D6C2CB" wp14:editId="36FBC847">
                  <wp:extent cx="5238750" cy="2672832"/>
                  <wp:effectExtent l="0" t="0" r="0" b="0"/>
                  <wp:docPr id="129" name="Picture 129"/>
                  <wp:cNvGraphicFramePr/>
                  <a:graphic xmlns:a="http://schemas.openxmlformats.org/drawingml/2006/main">
                    <a:graphicData uri="http://schemas.openxmlformats.org/drawingml/2006/picture">
                      <pic:pic xmlns:pic="http://schemas.openxmlformats.org/drawingml/2006/picture">
                        <pic:nvPicPr>
                          <pic:cNvPr id="130" name="Picture 130"/>
                          <pic:cNvPicPr/>
                        </pic:nvPicPr>
                        <pic:blipFill>
                          <a:blip r:embed="rId81" cstate="print"/>
                          <a:stretch>
                            <a:fillRect/>
                          </a:stretch>
                        </pic:blipFill>
                        <pic:spPr>
                          <a:xfrm>
                            <a:off x="0" y="0"/>
                            <a:ext cx="5238750" cy="2672832"/>
                          </a:xfrm>
                          <a:prstGeom prst="rect">
                            <a:avLst/>
                          </a:prstGeom>
                        </pic:spPr>
                      </pic:pic>
                    </a:graphicData>
                  </a:graphic>
                </wp:inline>
              </w:drawing>
            </w:r>
          </w:p>
        </w:tc>
      </w:tr>
      <w:tr w:rsidR="00B16DFE" w14:paraId="1950FA0B" w14:textId="77777777">
        <w:tc>
          <w:tcPr>
            <w:tcW w:w="4000" w:type="pct"/>
            <w:gridSpan w:val="2"/>
          </w:tcPr>
          <w:p w14:paraId="49BE019F" w14:textId="77777777" w:rsidR="00B16DFE" w:rsidRDefault="00B16DFE">
            <w:pPr>
              <w:keepNext/>
              <w:keepLines/>
              <w:spacing w:after="0" w:line="225" w:lineRule="atLeast"/>
              <w:rPr>
                <w:rFonts w:ascii="Arial" w:eastAsia="Arial" w:hAnsi="Arial" w:cs="Arial"/>
                <w:sz w:val="16"/>
                <w:szCs w:val="16"/>
              </w:rPr>
            </w:pPr>
          </w:p>
        </w:tc>
      </w:tr>
      <w:tr w:rsidR="00B16DFE" w14:paraId="411783CC" w14:textId="77777777">
        <w:tc>
          <w:tcPr>
            <w:tcW w:w="1000" w:type="pct"/>
          </w:tcPr>
          <w:p w14:paraId="52954433" w14:textId="77777777" w:rsidR="00B16DFE" w:rsidRDefault="009F0859">
            <w:pPr>
              <w:pStyle w:val="Heading2"/>
              <w:spacing w:before="0" w:line="270" w:lineRule="atLeast"/>
              <w:rPr>
                <w:rFonts w:ascii="Arial" w:eastAsia="Arial" w:hAnsi="Arial" w:cs="Arial"/>
                <w:color w:val="333333"/>
                <w:spacing w:val="4"/>
                <w:sz w:val="21"/>
                <w:szCs w:val="21"/>
              </w:rPr>
            </w:pPr>
            <w:bookmarkStart w:id="30" w:name="_Toc31"/>
            <w:r>
              <w:rPr>
                <w:rFonts w:ascii="Arial" w:eastAsia="Arial" w:hAnsi="Arial" w:cs="Arial"/>
                <w:color w:val="333333"/>
                <w:spacing w:val="4"/>
                <w:sz w:val="21"/>
                <w:szCs w:val="21"/>
              </w:rPr>
              <w:t>Capital Intensity</w:t>
            </w:r>
            <w:bookmarkEnd w:id="30"/>
          </w:p>
        </w:tc>
        <w:tc>
          <w:tcPr>
            <w:tcW w:w="4000" w:type="pct"/>
          </w:tcPr>
          <w:p w14:paraId="436627F4" w14:textId="77777777" w:rsidR="00B16DFE" w:rsidRDefault="009F0859">
            <w:pPr>
              <w:keepNext/>
              <w:keepLines/>
              <w:spacing w:after="120" w:line="240" w:lineRule="atLeast"/>
              <w:rPr>
                <w:rFonts w:ascii="Arial" w:eastAsia="Arial" w:hAnsi="Arial" w:cs="Arial"/>
                <w:sz w:val="16"/>
                <w:szCs w:val="16"/>
              </w:rPr>
            </w:pPr>
            <w:r>
              <w:rPr>
                <w:rFonts w:ascii="Arial" w:eastAsia="Arial" w:hAnsi="Arial" w:cs="Arial"/>
                <w:b/>
                <w:bCs/>
                <w:sz w:val="18"/>
                <w:szCs w:val="18"/>
              </w:rPr>
              <w:t>The level of capital intensity is </w:t>
            </w:r>
            <w:r>
              <w:rPr>
                <w:rFonts w:ascii="Arial" w:eastAsia="Arial" w:hAnsi="Arial" w:cs="Arial"/>
                <w:sz w:val="16"/>
                <w:szCs w:val="16"/>
              </w:rPr>
              <w:t xml:space="preserve"> </w:t>
            </w:r>
            <w:r>
              <w:rPr>
                <w:noProof/>
              </w:rPr>
              <w:drawing>
                <wp:inline distT="0" distB="0" distL="0" distR="0" wp14:anchorId="743F2029" wp14:editId="34C1B2F7">
                  <wp:extent cx="91440" cy="91440"/>
                  <wp:effectExtent l="0" t="0" r="0" b="0"/>
                  <wp:docPr id="131" name="Picture 131" descr="Neutral"/>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52"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F58232"/>
                <w:sz w:val="18"/>
                <w:szCs w:val="18"/>
              </w:rPr>
              <w:t>Medium</w:t>
            </w:r>
          </w:p>
        </w:tc>
      </w:tr>
      <w:tr w:rsidR="00B16DFE" w14:paraId="2E6B06B2" w14:textId="77777777">
        <w:tc>
          <w:tcPr>
            <w:tcW w:w="1000" w:type="pct"/>
          </w:tcPr>
          <w:p w14:paraId="3E27FFE0"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tbl>
            <w:tblPr>
              <w:tblW w:w="5000" w:type="pct"/>
              <w:tblCellSpacing w:w="3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868"/>
              <w:gridCol w:w="4590"/>
            </w:tblGrid>
            <w:tr w:rsidR="00B16DFE" w14:paraId="665D4CAD" w14:textId="77777777">
              <w:trPr>
                <w:tblCellSpacing w:w="30" w:type="dxa"/>
              </w:trPr>
              <w:tc>
                <w:tcPr>
                  <w:tcW w:w="0" w:type="auto"/>
                </w:tcPr>
                <w:p w14:paraId="1F901B41"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The industry is moderately labour intensive due to the high level of </w:t>
                  </w:r>
                  <w:r>
                    <w:rPr>
                      <w:rFonts w:ascii="Arial" w:eastAsia="Arial" w:hAnsi="Arial" w:cs="Arial"/>
                      <w:sz w:val="16"/>
                      <w:szCs w:val="16"/>
                    </w:rPr>
                    <w:t>personal contact with customers and the importance of agents knowing travel products well so they can market them to customers effectively. Computerised reservation systems (CRS), or global distribution systems continue to remain a feature of the industry,</w:t>
                  </w:r>
                  <w:r>
                    <w:rPr>
                      <w:rFonts w:ascii="Arial" w:eastAsia="Arial" w:hAnsi="Arial" w:cs="Arial"/>
                      <w:sz w:val="16"/>
                      <w:szCs w:val="16"/>
                    </w:rPr>
                    <w:t xml:space="preserve"> as does ticketless travel. Despite increasing investment in technology, labour costs have increased over recent years due to changes to the minimum wage. The National Living Wage was introduced in April 2016 and has increased in the years since. In 2020-2</w:t>
                  </w:r>
                  <w:r>
                    <w:rPr>
                      <w:rFonts w:ascii="Arial" w:eastAsia="Arial" w:hAnsi="Arial" w:cs="Arial"/>
                      <w:sz w:val="16"/>
                      <w:szCs w:val="16"/>
                    </w:rPr>
                    <w:t>1, for every £1.00 invested in capital, an expected £6.18 is spent on wages.</w:t>
                  </w:r>
                </w:p>
                <w:p w14:paraId="76724F26"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CRSs allow for more effective sales of high retail margin travel insurance policies, the electronic processing of transactions, electronic vouchering, electronic transfer of funds</w:t>
                  </w:r>
                  <w:r>
                    <w:rPr>
                      <w:rFonts w:ascii="Arial" w:eastAsia="Arial" w:hAnsi="Arial" w:cs="Arial"/>
                      <w:sz w:val="16"/>
                      <w:szCs w:val="16"/>
                    </w:rPr>
                    <w:t xml:space="preserve"> from a customer to an agency and electronic settling of accounts. These systems are also linked into operators' accounting and information storage and retrieval systems. Email, telemarketing and internet facilities are </w:t>
                  </w:r>
                  <w:proofErr w:type="gramStart"/>
                  <w:r>
                    <w:rPr>
                      <w:rFonts w:ascii="Arial" w:eastAsia="Arial" w:hAnsi="Arial" w:cs="Arial"/>
                      <w:sz w:val="16"/>
                      <w:szCs w:val="16"/>
                    </w:rPr>
                    <w:t>fairly common</w:t>
                  </w:r>
                  <w:proofErr w:type="gramEnd"/>
                  <w:r>
                    <w:rPr>
                      <w:rFonts w:ascii="Arial" w:eastAsia="Arial" w:hAnsi="Arial" w:cs="Arial"/>
                      <w:sz w:val="16"/>
                      <w:szCs w:val="16"/>
                    </w:rPr>
                    <w:t xml:space="preserve"> in the industry nowada</w:t>
                  </w:r>
                  <w:r>
                    <w:rPr>
                      <w:rFonts w:ascii="Arial" w:eastAsia="Arial" w:hAnsi="Arial" w:cs="Arial"/>
                      <w:sz w:val="16"/>
                      <w:szCs w:val="16"/>
                    </w:rPr>
                    <w:t>ys and are integrated with the above systems. The general availability of these CRS to business clients and the general public has been growing. The programmes automatically calculate payments and confirm availability, bookings and reservations.</w:t>
                  </w:r>
                </w:p>
                <w:p w14:paraId="1A534A09"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 xml:space="preserve">While a </w:t>
                  </w:r>
                  <w:r>
                    <w:rPr>
                      <w:rFonts w:ascii="Arial" w:eastAsia="Arial" w:hAnsi="Arial" w:cs="Arial"/>
                      <w:sz w:val="16"/>
                      <w:szCs w:val="16"/>
                    </w:rPr>
                    <w:t xml:space="preserve">significant proportion of sales also now involve credit or debit cards, traveller's cheques are still sometimes used when travelling overseas and these are sold through agencies. The major online travel operator in the industry is Expedia. Expedia and its </w:t>
                  </w:r>
                  <w:r>
                    <w:rPr>
                      <w:rFonts w:ascii="Arial" w:eastAsia="Arial" w:hAnsi="Arial" w:cs="Arial"/>
                      <w:sz w:val="16"/>
                      <w:szCs w:val="16"/>
                    </w:rPr>
                    <w:t xml:space="preserve">online competitors are forecast to continue to grow strongly </w:t>
                  </w:r>
                  <w:proofErr w:type="gramStart"/>
                  <w:r>
                    <w:rPr>
                      <w:rFonts w:ascii="Arial" w:eastAsia="Arial" w:hAnsi="Arial" w:cs="Arial"/>
                      <w:sz w:val="16"/>
                      <w:szCs w:val="16"/>
                    </w:rPr>
                    <w:t>through the use of</w:t>
                  </w:r>
                  <w:proofErr w:type="gramEnd"/>
                  <w:r>
                    <w:rPr>
                      <w:rFonts w:ascii="Arial" w:eastAsia="Arial" w:hAnsi="Arial" w:cs="Arial"/>
                      <w:sz w:val="16"/>
                      <w:szCs w:val="16"/>
                    </w:rPr>
                    <w:t xml:space="preserve"> online technology and systems. Slow increases in employment and associated wage expenses are expected to take place over the next five years, although rising capital investment</w:t>
                  </w:r>
                  <w:r>
                    <w:rPr>
                      <w:rFonts w:ascii="Arial" w:eastAsia="Arial" w:hAnsi="Arial" w:cs="Arial"/>
                      <w:sz w:val="16"/>
                      <w:szCs w:val="16"/>
                    </w:rPr>
                    <w:t xml:space="preserve"> is expected to push capital intensity upwards. Consequently, the industry is anticipated to become more capital intensive, although it is </w:t>
                  </w:r>
                  <w:r>
                    <w:rPr>
                      <w:rFonts w:ascii="Arial" w:eastAsia="Arial" w:hAnsi="Arial" w:cs="Arial"/>
                      <w:sz w:val="16"/>
                      <w:szCs w:val="16"/>
                    </w:rPr>
                    <w:lastRenderedPageBreak/>
                    <w:t>expected to remain at a moderate level.</w:t>
                  </w:r>
                </w:p>
              </w:tc>
              <w:tc>
                <w:tcPr>
                  <w:tcW w:w="4440" w:type="dxa"/>
                </w:tcPr>
                <w:p w14:paraId="084BFE09" w14:textId="77777777" w:rsidR="00B16DFE" w:rsidRDefault="009F0859">
                  <w:pPr>
                    <w:keepNext/>
                    <w:keepLines/>
                    <w:spacing w:after="0" w:line="225" w:lineRule="atLeast"/>
                    <w:rPr>
                      <w:rFonts w:ascii="Arial" w:eastAsia="Arial" w:hAnsi="Arial" w:cs="Arial"/>
                      <w:sz w:val="16"/>
                      <w:szCs w:val="16"/>
                    </w:rPr>
                  </w:pPr>
                  <w:r>
                    <w:rPr>
                      <w:noProof/>
                    </w:rPr>
                    <w:lastRenderedPageBreak/>
                    <w:drawing>
                      <wp:inline distT="0" distB="0" distL="0" distR="0" wp14:anchorId="05FB8121" wp14:editId="1C9588D6">
                        <wp:extent cx="2857500" cy="4762500"/>
                        <wp:effectExtent l="0" t="0" r="0" b="0"/>
                        <wp:docPr id="133" name="Picture 133"/>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rId82" cstate="print"/>
                                <a:stretch>
                                  <a:fillRect/>
                                </a:stretch>
                              </pic:blipFill>
                              <pic:spPr>
                                <a:xfrm>
                                  <a:off x="0" y="0"/>
                                  <a:ext cx="2857500" cy="4762500"/>
                                </a:xfrm>
                                <a:prstGeom prst="rect">
                                  <a:avLst/>
                                </a:prstGeom>
                              </pic:spPr>
                            </pic:pic>
                          </a:graphicData>
                        </a:graphic>
                      </wp:inline>
                    </w:drawing>
                  </w:r>
                </w:p>
              </w:tc>
            </w:tr>
          </w:tbl>
          <w:p w14:paraId="24536589" w14:textId="77777777" w:rsidR="00B16DFE" w:rsidRDefault="00B16DFE"/>
        </w:tc>
      </w:tr>
      <w:tr w:rsidR="00B16DFE" w14:paraId="454B90BE" w14:textId="77777777">
        <w:tc>
          <w:tcPr>
            <w:tcW w:w="4000" w:type="pct"/>
            <w:gridSpan w:val="2"/>
          </w:tcPr>
          <w:p w14:paraId="5AECB0E8" w14:textId="77777777" w:rsidR="00B16DFE" w:rsidRDefault="009F0859">
            <w:pPr>
              <w:keepNext/>
              <w:keepLines/>
              <w:spacing w:after="0" w:line="225" w:lineRule="atLeast"/>
              <w:rPr>
                <w:rFonts w:ascii="Arial" w:eastAsia="Arial" w:hAnsi="Arial" w:cs="Arial"/>
                <w:sz w:val="16"/>
                <w:szCs w:val="16"/>
              </w:rPr>
            </w:pPr>
            <w:r>
              <w:lastRenderedPageBreak/>
              <w:br/>
            </w:r>
          </w:p>
        </w:tc>
      </w:tr>
      <w:tr w:rsidR="00B16DFE" w14:paraId="42AB314D" w14:textId="77777777">
        <w:tc>
          <w:tcPr>
            <w:tcW w:w="1000" w:type="pct"/>
          </w:tcPr>
          <w:p w14:paraId="7EFCA867" w14:textId="77777777" w:rsidR="00B16DFE" w:rsidRDefault="009F0859">
            <w:pPr>
              <w:pStyle w:val="Heading2"/>
              <w:spacing w:before="0" w:line="270" w:lineRule="atLeast"/>
              <w:rPr>
                <w:rFonts w:ascii="Arial" w:eastAsia="Arial" w:hAnsi="Arial" w:cs="Arial"/>
                <w:color w:val="333333"/>
                <w:spacing w:val="4"/>
                <w:sz w:val="21"/>
                <w:szCs w:val="21"/>
              </w:rPr>
            </w:pPr>
            <w:bookmarkStart w:id="31" w:name="_Toc32"/>
            <w:r>
              <w:rPr>
                <w:rFonts w:ascii="Arial" w:eastAsia="Arial" w:hAnsi="Arial" w:cs="Arial"/>
                <w:color w:val="333333"/>
                <w:spacing w:val="4"/>
                <w:sz w:val="21"/>
                <w:szCs w:val="21"/>
              </w:rPr>
              <w:t>Technology &amp; Systems</w:t>
            </w:r>
            <w:bookmarkEnd w:id="31"/>
          </w:p>
        </w:tc>
        <w:tc>
          <w:tcPr>
            <w:tcW w:w="4000" w:type="pct"/>
          </w:tcPr>
          <w:p w14:paraId="3DD58063"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 xml:space="preserve">Potential Disruptive Innovation: Factors </w:t>
            </w:r>
            <w:r>
              <w:rPr>
                <w:rFonts w:ascii="Arial" w:eastAsia="Arial" w:hAnsi="Arial" w:cs="Arial"/>
                <w:sz w:val="16"/>
                <w:szCs w:val="16"/>
              </w:rPr>
              <w:t>Driving Threat of Change</w:t>
            </w:r>
          </w:p>
        </w:tc>
      </w:tr>
      <w:tr w:rsidR="00B16DFE" w14:paraId="4F2ADEC4" w14:textId="77777777">
        <w:trPr>
          <w:cantSplit/>
        </w:trPr>
        <w:tc>
          <w:tcPr>
            <w:tcW w:w="1000" w:type="pct"/>
          </w:tcPr>
          <w:p w14:paraId="3C8F40EC"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tbl>
            <w:tblPr>
              <w:tblW w:w="5000" w:type="pct"/>
              <w:tblCellSpacing w:w="30" w:type="dxa"/>
              <w:tblBorders>
                <w:top w:val="nil"/>
                <w:left w:val="nil"/>
                <w:bottom w:val="nil"/>
                <w:right w:val="nil"/>
                <w:insideH w:val="nil"/>
                <w:insideV w:val="nil"/>
              </w:tblBorders>
              <w:tblLook w:val="04A0" w:firstRow="1" w:lastRow="0" w:firstColumn="1" w:lastColumn="0" w:noHBand="0" w:noVBand="1"/>
            </w:tblPr>
            <w:tblGrid>
              <w:gridCol w:w="470"/>
              <w:gridCol w:w="1540"/>
              <w:gridCol w:w="1518"/>
              <w:gridCol w:w="1387"/>
              <w:gridCol w:w="3543"/>
            </w:tblGrid>
            <w:tr w:rsidR="00B16DFE" w14:paraId="61071673" w14:textId="77777777">
              <w:trPr>
                <w:tblHeader/>
                <w:tblCellSpacing w:w="30" w:type="dxa"/>
              </w:trPr>
              <w:tc>
                <w:tcPr>
                  <w:tcW w:w="0" w:type="auto"/>
                  <w:gridSpan w:val="2"/>
                  <w:tcMar>
                    <w:top w:w="60" w:type="dxa"/>
                    <w:left w:w="0" w:type="dxa"/>
                    <w:bottom w:w="60" w:type="dxa"/>
                    <w:right w:w="150" w:type="dxa"/>
                  </w:tcMar>
                  <w:vAlign w:val="center"/>
                </w:tcPr>
                <w:p w14:paraId="5EBA716D" w14:textId="77777777" w:rsidR="00B16DFE" w:rsidRDefault="009F0859">
                  <w:pPr>
                    <w:keepNext/>
                    <w:keepLines/>
                    <w:spacing w:before="60" w:after="60" w:line="270" w:lineRule="atLeast"/>
                    <w:ind w:right="150"/>
                    <w:rPr>
                      <w:rFonts w:ascii="Arial" w:eastAsia="Arial" w:hAnsi="Arial" w:cs="Arial"/>
                      <w:b/>
                      <w:bCs/>
                      <w:sz w:val="21"/>
                      <w:szCs w:val="21"/>
                    </w:rPr>
                  </w:pPr>
                  <w:r>
                    <w:rPr>
                      <w:rFonts w:ascii="Arial" w:eastAsia="Arial" w:hAnsi="Arial" w:cs="Arial"/>
                      <w:b/>
                      <w:bCs/>
                      <w:sz w:val="21"/>
                      <w:szCs w:val="21"/>
                    </w:rPr>
                    <w:t>Level</w:t>
                  </w:r>
                </w:p>
              </w:tc>
              <w:tc>
                <w:tcPr>
                  <w:tcW w:w="0" w:type="auto"/>
                  <w:tcMar>
                    <w:top w:w="60" w:type="dxa"/>
                    <w:left w:w="0" w:type="dxa"/>
                    <w:bottom w:w="60" w:type="dxa"/>
                    <w:right w:w="150" w:type="dxa"/>
                  </w:tcMar>
                  <w:vAlign w:val="center"/>
                </w:tcPr>
                <w:p w14:paraId="319E5EAE" w14:textId="77777777" w:rsidR="00B16DFE" w:rsidRDefault="009F0859">
                  <w:pPr>
                    <w:keepNext/>
                    <w:keepLines/>
                    <w:spacing w:before="60" w:after="60" w:line="270" w:lineRule="atLeast"/>
                    <w:ind w:right="150"/>
                    <w:rPr>
                      <w:rFonts w:ascii="Arial" w:eastAsia="Arial" w:hAnsi="Arial" w:cs="Arial"/>
                      <w:b/>
                      <w:bCs/>
                      <w:sz w:val="21"/>
                      <w:szCs w:val="21"/>
                    </w:rPr>
                  </w:pPr>
                  <w:r>
                    <w:rPr>
                      <w:rFonts w:ascii="Arial" w:eastAsia="Arial" w:hAnsi="Arial" w:cs="Arial"/>
                      <w:b/>
                      <w:bCs/>
                      <w:sz w:val="21"/>
                      <w:szCs w:val="21"/>
                    </w:rPr>
                    <w:t>Factor</w:t>
                  </w:r>
                </w:p>
              </w:tc>
              <w:tc>
                <w:tcPr>
                  <w:tcW w:w="0" w:type="auto"/>
                  <w:tcMar>
                    <w:top w:w="60" w:type="dxa"/>
                    <w:left w:w="0" w:type="dxa"/>
                    <w:bottom w:w="60" w:type="dxa"/>
                    <w:right w:w="150" w:type="dxa"/>
                  </w:tcMar>
                  <w:vAlign w:val="center"/>
                </w:tcPr>
                <w:p w14:paraId="23A30B42" w14:textId="77777777" w:rsidR="00B16DFE" w:rsidRDefault="009F0859">
                  <w:pPr>
                    <w:keepNext/>
                    <w:keepLines/>
                    <w:spacing w:before="60" w:after="60" w:line="270" w:lineRule="atLeast"/>
                    <w:ind w:right="150"/>
                    <w:rPr>
                      <w:rFonts w:ascii="Arial" w:eastAsia="Arial" w:hAnsi="Arial" w:cs="Arial"/>
                      <w:b/>
                      <w:bCs/>
                      <w:sz w:val="21"/>
                      <w:szCs w:val="21"/>
                    </w:rPr>
                  </w:pPr>
                  <w:r>
                    <w:rPr>
                      <w:rFonts w:ascii="Arial" w:eastAsia="Arial" w:hAnsi="Arial" w:cs="Arial"/>
                      <w:b/>
                      <w:bCs/>
                      <w:sz w:val="21"/>
                      <w:szCs w:val="21"/>
                    </w:rPr>
                    <w:t>Disruptive Effect</w:t>
                  </w:r>
                </w:p>
              </w:tc>
              <w:tc>
                <w:tcPr>
                  <w:tcW w:w="0" w:type="auto"/>
                  <w:tcMar>
                    <w:top w:w="60" w:type="dxa"/>
                    <w:left w:w="0" w:type="dxa"/>
                    <w:bottom w:w="60" w:type="dxa"/>
                    <w:right w:w="150" w:type="dxa"/>
                  </w:tcMar>
                  <w:vAlign w:val="center"/>
                </w:tcPr>
                <w:p w14:paraId="40F3B8D8" w14:textId="77777777" w:rsidR="00B16DFE" w:rsidRDefault="009F0859">
                  <w:pPr>
                    <w:keepNext/>
                    <w:keepLines/>
                    <w:spacing w:before="60" w:after="60" w:line="270" w:lineRule="atLeast"/>
                    <w:ind w:right="150"/>
                    <w:rPr>
                      <w:rFonts w:ascii="Arial" w:eastAsia="Arial" w:hAnsi="Arial" w:cs="Arial"/>
                      <w:b/>
                      <w:bCs/>
                      <w:sz w:val="21"/>
                      <w:szCs w:val="21"/>
                    </w:rPr>
                  </w:pPr>
                  <w:r>
                    <w:rPr>
                      <w:rFonts w:ascii="Arial" w:eastAsia="Arial" w:hAnsi="Arial" w:cs="Arial"/>
                      <w:b/>
                      <w:bCs/>
                      <w:sz w:val="21"/>
                      <w:szCs w:val="21"/>
                    </w:rPr>
                    <w:t>Description</w:t>
                  </w:r>
                </w:p>
              </w:tc>
            </w:tr>
            <w:tr w:rsidR="00B16DFE" w14:paraId="3C773C7F" w14:textId="77777777">
              <w:trPr>
                <w:tblCellSpacing w:w="30" w:type="dxa"/>
              </w:trPr>
              <w:tc>
                <w:tcPr>
                  <w:tcW w:w="600" w:type="dxa"/>
                  <w:tcBorders>
                    <w:top w:val="single" w:sz="6" w:space="0" w:color="D8DDEA"/>
                  </w:tcBorders>
                  <w:tcMar>
                    <w:top w:w="60" w:type="dxa"/>
                    <w:left w:w="0" w:type="dxa"/>
                    <w:bottom w:w="60" w:type="dxa"/>
                    <w:right w:w="150" w:type="dxa"/>
                  </w:tcMar>
                </w:tcPr>
                <w:p w14:paraId="67F52DC4" w14:textId="77777777" w:rsidR="00B16DFE" w:rsidRDefault="009F0859">
                  <w:pPr>
                    <w:keepNext/>
                    <w:keepLines/>
                    <w:spacing w:after="0" w:line="270" w:lineRule="atLeast"/>
                    <w:rPr>
                      <w:rFonts w:ascii="Arial" w:eastAsia="Arial" w:hAnsi="Arial" w:cs="Arial"/>
                      <w:sz w:val="16"/>
                      <w:szCs w:val="16"/>
                    </w:rPr>
                  </w:pPr>
                  <w:r>
                    <w:rPr>
                      <w:noProof/>
                    </w:rPr>
                    <w:drawing>
                      <wp:inline distT="0" distB="0" distL="0" distR="0" wp14:anchorId="2FAF35E9" wp14:editId="6FB40003">
                        <wp:extent cx="146304" cy="146304"/>
                        <wp:effectExtent l="0" t="0" r="0" b="0"/>
                        <wp:docPr id="135" name="Picture 135" descr="Bad"/>
                        <wp:cNvGraphicFramePr/>
                        <a:graphic xmlns:a="http://schemas.openxmlformats.org/drawingml/2006/main">
                          <a:graphicData uri="http://schemas.openxmlformats.org/drawingml/2006/picture">
                            <pic:pic xmlns:pic="http://schemas.openxmlformats.org/drawingml/2006/picture">
                              <pic:nvPicPr>
                                <pic:cNvPr id="136" name="Picture 136"/>
                                <pic:cNvPicPr/>
                              </pic:nvPicPr>
                              <pic:blipFill>
                                <a:blip r:embed="rId83" cstate="print"/>
                                <a:stretch>
                                  <a:fillRect/>
                                </a:stretch>
                              </pic:blipFill>
                              <pic:spPr>
                                <a:xfrm>
                                  <a:off x="0" y="0"/>
                                  <a:ext cx="146304" cy="146304"/>
                                </a:xfrm>
                                <a:prstGeom prst="rect">
                                  <a:avLst/>
                                </a:prstGeom>
                              </pic:spPr>
                            </pic:pic>
                          </a:graphicData>
                        </a:graphic>
                      </wp:inline>
                    </w:drawing>
                  </w:r>
                </w:p>
              </w:tc>
              <w:tc>
                <w:tcPr>
                  <w:tcW w:w="1500" w:type="pct"/>
                  <w:tcBorders>
                    <w:top w:val="single" w:sz="6" w:space="0" w:color="D8DDEA"/>
                  </w:tcBorders>
                  <w:tcMar>
                    <w:top w:w="60" w:type="dxa"/>
                    <w:left w:w="0" w:type="dxa"/>
                    <w:bottom w:w="60" w:type="dxa"/>
                    <w:right w:w="150" w:type="dxa"/>
                  </w:tcMar>
                </w:tcPr>
                <w:p w14:paraId="43E998F0"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High</w:t>
                  </w:r>
                </w:p>
              </w:tc>
              <w:tc>
                <w:tcPr>
                  <w:tcW w:w="2100" w:type="dxa"/>
                  <w:tcBorders>
                    <w:top w:val="single" w:sz="6" w:space="0" w:color="D8DDEA"/>
                  </w:tcBorders>
                  <w:tcMar>
                    <w:top w:w="60" w:type="dxa"/>
                    <w:left w:w="0" w:type="dxa"/>
                    <w:bottom w:w="60" w:type="dxa"/>
                    <w:right w:w="150" w:type="dxa"/>
                  </w:tcMar>
                </w:tcPr>
                <w:p w14:paraId="739CF5C4"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Rate of Innovation</w:t>
                  </w:r>
                </w:p>
              </w:tc>
              <w:tc>
                <w:tcPr>
                  <w:tcW w:w="2100" w:type="dxa"/>
                  <w:tcBorders>
                    <w:top w:val="single" w:sz="6" w:space="0" w:color="D8DDEA"/>
                  </w:tcBorders>
                  <w:tcMar>
                    <w:top w:w="60" w:type="dxa"/>
                    <w:left w:w="0" w:type="dxa"/>
                    <w:bottom w:w="60" w:type="dxa"/>
                    <w:right w:w="150" w:type="dxa"/>
                  </w:tcMar>
                </w:tcPr>
                <w:p w14:paraId="678D6473"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Likely</w:t>
                  </w:r>
                </w:p>
              </w:tc>
              <w:tc>
                <w:tcPr>
                  <w:tcW w:w="4000" w:type="pct"/>
                  <w:tcBorders>
                    <w:top w:val="single" w:sz="6" w:space="0" w:color="D8DDEA"/>
                  </w:tcBorders>
                  <w:tcMar>
                    <w:top w:w="60" w:type="dxa"/>
                    <w:left w:w="0" w:type="dxa"/>
                    <w:bottom w:w="60" w:type="dxa"/>
                    <w:right w:w="150" w:type="dxa"/>
                  </w:tcMar>
                </w:tcPr>
                <w:p w14:paraId="3653808C" w14:textId="77777777" w:rsidR="00B16DFE" w:rsidRDefault="009F0859">
                  <w:pPr>
                    <w:keepNext/>
                    <w:keepLines/>
                    <w:spacing w:after="0" w:line="240" w:lineRule="atLeast"/>
                    <w:rPr>
                      <w:rFonts w:ascii="Arial" w:eastAsia="Arial" w:hAnsi="Arial" w:cs="Arial"/>
                      <w:sz w:val="16"/>
                      <w:szCs w:val="16"/>
                    </w:rPr>
                  </w:pPr>
                  <w:r>
                    <w:rPr>
                      <w:rFonts w:ascii="Arial" w:eastAsia="Arial" w:hAnsi="Arial" w:cs="Arial"/>
                      <w:color w:val="000000"/>
                      <w:sz w:val="18"/>
                      <w:szCs w:val="18"/>
                    </w:rPr>
                    <w:t xml:space="preserve">A ranked measure for the number of patents assigned to an industry. A faster rate of new patent additions to the industry increases the </w:t>
                  </w:r>
                  <w:r>
                    <w:rPr>
                      <w:rFonts w:ascii="Arial" w:eastAsia="Arial" w:hAnsi="Arial" w:cs="Arial"/>
                      <w:color w:val="000000"/>
                      <w:sz w:val="18"/>
                      <w:szCs w:val="18"/>
                    </w:rPr>
                    <w:t>likelihood of a disruptive innovation occurring.</w:t>
                  </w:r>
                </w:p>
              </w:tc>
            </w:tr>
            <w:tr w:rsidR="00B16DFE" w14:paraId="5062B5BA" w14:textId="77777777">
              <w:trPr>
                <w:tblCellSpacing w:w="30" w:type="dxa"/>
              </w:trPr>
              <w:tc>
                <w:tcPr>
                  <w:tcW w:w="600" w:type="dxa"/>
                  <w:tcBorders>
                    <w:top w:val="single" w:sz="6" w:space="0" w:color="D8DDEA"/>
                  </w:tcBorders>
                  <w:tcMar>
                    <w:top w:w="60" w:type="dxa"/>
                    <w:left w:w="0" w:type="dxa"/>
                    <w:bottom w:w="60" w:type="dxa"/>
                    <w:right w:w="150" w:type="dxa"/>
                  </w:tcMar>
                </w:tcPr>
                <w:p w14:paraId="4558B279" w14:textId="77777777" w:rsidR="00B16DFE" w:rsidRDefault="009F0859">
                  <w:pPr>
                    <w:keepNext/>
                    <w:keepLines/>
                    <w:spacing w:after="0" w:line="270" w:lineRule="atLeast"/>
                    <w:rPr>
                      <w:rFonts w:ascii="Arial" w:eastAsia="Arial" w:hAnsi="Arial" w:cs="Arial"/>
                      <w:sz w:val="16"/>
                      <w:szCs w:val="16"/>
                    </w:rPr>
                  </w:pPr>
                  <w:r>
                    <w:rPr>
                      <w:noProof/>
                    </w:rPr>
                    <w:drawing>
                      <wp:inline distT="0" distB="0" distL="0" distR="0" wp14:anchorId="67716128" wp14:editId="03A9354B">
                        <wp:extent cx="146304" cy="146304"/>
                        <wp:effectExtent l="0" t="0" r="0" b="0"/>
                        <wp:docPr id="137" name="Picture 137" descr="Bad"/>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83" cstate="print"/>
                                <a:stretch>
                                  <a:fillRect/>
                                </a:stretch>
                              </pic:blipFill>
                              <pic:spPr>
                                <a:xfrm>
                                  <a:off x="0" y="0"/>
                                  <a:ext cx="146304" cy="146304"/>
                                </a:xfrm>
                                <a:prstGeom prst="rect">
                                  <a:avLst/>
                                </a:prstGeom>
                              </pic:spPr>
                            </pic:pic>
                          </a:graphicData>
                        </a:graphic>
                      </wp:inline>
                    </w:drawing>
                  </w:r>
                </w:p>
              </w:tc>
              <w:tc>
                <w:tcPr>
                  <w:tcW w:w="1500" w:type="pct"/>
                  <w:tcBorders>
                    <w:top w:val="single" w:sz="6" w:space="0" w:color="D8DDEA"/>
                  </w:tcBorders>
                  <w:tcMar>
                    <w:top w:w="60" w:type="dxa"/>
                    <w:left w:w="0" w:type="dxa"/>
                    <w:bottom w:w="60" w:type="dxa"/>
                    <w:right w:w="150" w:type="dxa"/>
                  </w:tcMar>
                </w:tcPr>
                <w:p w14:paraId="76C399BB"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Very High</w:t>
                  </w:r>
                </w:p>
              </w:tc>
              <w:tc>
                <w:tcPr>
                  <w:tcW w:w="2100" w:type="dxa"/>
                  <w:tcBorders>
                    <w:top w:val="single" w:sz="6" w:space="0" w:color="D8DDEA"/>
                  </w:tcBorders>
                  <w:tcMar>
                    <w:top w:w="60" w:type="dxa"/>
                    <w:left w:w="0" w:type="dxa"/>
                    <w:bottom w:w="60" w:type="dxa"/>
                    <w:right w:w="150" w:type="dxa"/>
                  </w:tcMar>
                </w:tcPr>
                <w:p w14:paraId="48ED899A"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Innovation Concentration</w:t>
                  </w:r>
                </w:p>
              </w:tc>
              <w:tc>
                <w:tcPr>
                  <w:tcW w:w="2100" w:type="dxa"/>
                  <w:tcBorders>
                    <w:top w:val="single" w:sz="6" w:space="0" w:color="D8DDEA"/>
                  </w:tcBorders>
                  <w:tcMar>
                    <w:top w:w="60" w:type="dxa"/>
                    <w:left w:w="0" w:type="dxa"/>
                    <w:bottom w:w="60" w:type="dxa"/>
                    <w:right w:w="150" w:type="dxa"/>
                  </w:tcMar>
                </w:tcPr>
                <w:p w14:paraId="5BC4BDB9"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Very Likely</w:t>
                  </w:r>
                </w:p>
              </w:tc>
              <w:tc>
                <w:tcPr>
                  <w:tcW w:w="4000" w:type="pct"/>
                  <w:tcBorders>
                    <w:top w:val="single" w:sz="6" w:space="0" w:color="D8DDEA"/>
                  </w:tcBorders>
                  <w:tcMar>
                    <w:top w:w="60" w:type="dxa"/>
                    <w:left w:w="0" w:type="dxa"/>
                    <w:bottom w:w="60" w:type="dxa"/>
                    <w:right w:w="150" w:type="dxa"/>
                  </w:tcMar>
                </w:tcPr>
                <w:p w14:paraId="25AF47D0" w14:textId="77777777" w:rsidR="00B16DFE" w:rsidRDefault="009F0859">
                  <w:pPr>
                    <w:keepNext/>
                    <w:keepLines/>
                    <w:spacing w:after="0" w:line="240" w:lineRule="atLeast"/>
                    <w:rPr>
                      <w:rFonts w:ascii="Arial" w:eastAsia="Arial" w:hAnsi="Arial" w:cs="Arial"/>
                      <w:sz w:val="16"/>
                      <w:szCs w:val="16"/>
                    </w:rPr>
                  </w:pPr>
                  <w:r>
                    <w:rPr>
                      <w:rFonts w:ascii="Arial" w:eastAsia="Arial" w:hAnsi="Arial" w:cs="Arial"/>
                      <w:color w:val="000000"/>
                      <w:sz w:val="18"/>
                      <w:szCs w:val="18"/>
                    </w:rPr>
                    <w:t xml:space="preserve">A measure for the mix of patent classes assigned to the industry. A greater concentration of patents in one area increases the likelihood of </w:t>
                  </w:r>
                  <w:r>
                    <w:rPr>
                      <w:rFonts w:ascii="Arial" w:eastAsia="Arial" w:hAnsi="Arial" w:cs="Arial"/>
                      <w:color w:val="000000"/>
                      <w:sz w:val="18"/>
                      <w:szCs w:val="18"/>
                    </w:rPr>
                    <w:t>technological disruption of incumbent operators.</w:t>
                  </w:r>
                </w:p>
              </w:tc>
            </w:tr>
            <w:tr w:rsidR="00B16DFE" w14:paraId="02C12B86" w14:textId="77777777">
              <w:trPr>
                <w:tblCellSpacing w:w="30" w:type="dxa"/>
              </w:trPr>
              <w:tc>
                <w:tcPr>
                  <w:tcW w:w="600" w:type="dxa"/>
                  <w:tcBorders>
                    <w:top w:val="single" w:sz="6" w:space="0" w:color="D8DDEA"/>
                  </w:tcBorders>
                  <w:tcMar>
                    <w:top w:w="60" w:type="dxa"/>
                    <w:left w:w="0" w:type="dxa"/>
                    <w:bottom w:w="60" w:type="dxa"/>
                    <w:right w:w="150" w:type="dxa"/>
                  </w:tcMar>
                </w:tcPr>
                <w:p w14:paraId="75E27F20" w14:textId="77777777" w:rsidR="00B16DFE" w:rsidRDefault="009F0859">
                  <w:pPr>
                    <w:keepNext/>
                    <w:keepLines/>
                    <w:spacing w:after="0" w:line="270" w:lineRule="atLeast"/>
                    <w:rPr>
                      <w:rFonts w:ascii="Arial" w:eastAsia="Arial" w:hAnsi="Arial" w:cs="Arial"/>
                      <w:sz w:val="16"/>
                      <w:szCs w:val="16"/>
                    </w:rPr>
                  </w:pPr>
                  <w:r>
                    <w:rPr>
                      <w:noProof/>
                    </w:rPr>
                    <w:drawing>
                      <wp:inline distT="0" distB="0" distL="0" distR="0" wp14:anchorId="0D6E3818" wp14:editId="586AACE3">
                        <wp:extent cx="146304" cy="146304"/>
                        <wp:effectExtent l="0" t="0" r="0" b="0"/>
                        <wp:docPr id="139" name="Picture 139" descr="Bad"/>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83" cstate="print"/>
                                <a:stretch>
                                  <a:fillRect/>
                                </a:stretch>
                              </pic:blipFill>
                              <pic:spPr>
                                <a:xfrm>
                                  <a:off x="0" y="0"/>
                                  <a:ext cx="146304" cy="146304"/>
                                </a:xfrm>
                                <a:prstGeom prst="rect">
                                  <a:avLst/>
                                </a:prstGeom>
                              </pic:spPr>
                            </pic:pic>
                          </a:graphicData>
                        </a:graphic>
                      </wp:inline>
                    </w:drawing>
                  </w:r>
                </w:p>
              </w:tc>
              <w:tc>
                <w:tcPr>
                  <w:tcW w:w="1500" w:type="pct"/>
                  <w:tcBorders>
                    <w:top w:val="single" w:sz="6" w:space="0" w:color="D8DDEA"/>
                  </w:tcBorders>
                  <w:tcMar>
                    <w:top w:w="60" w:type="dxa"/>
                    <w:left w:w="0" w:type="dxa"/>
                    <w:bottom w:w="60" w:type="dxa"/>
                    <w:right w:w="150" w:type="dxa"/>
                  </w:tcMar>
                </w:tcPr>
                <w:p w14:paraId="0D33F7AC"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High</w:t>
                  </w:r>
                </w:p>
              </w:tc>
              <w:tc>
                <w:tcPr>
                  <w:tcW w:w="2100" w:type="dxa"/>
                  <w:tcBorders>
                    <w:top w:val="single" w:sz="6" w:space="0" w:color="D8DDEA"/>
                  </w:tcBorders>
                  <w:tcMar>
                    <w:top w:w="60" w:type="dxa"/>
                    <w:left w:w="0" w:type="dxa"/>
                    <w:bottom w:w="60" w:type="dxa"/>
                    <w:right w:w="150" w:type="dxa"/>
                  </w:tcMar>
                </w:tcPr>
                <w:p w14:paraId="1DB13D81"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Ease of Entry</w:t>
                  </w:r>
                </w:p>
              </w:tc>
              <w:tc>
                <w:tcPr>
                  <w:tcW w:w="2100" w:type="dxa"/>
                  <w:tcBorders>
                    <w:top w:val="single" w:sz="6" w:space="0" w:color="D8DDEA"/>
                  </w:tcBorders>
                  <w:tcMar>
                    <w:top w:w="60" w:type="dxa"/>
                    <w:left w:w="0" w:type="dxa"/>
                    <w:bottom w:w="60" w:type="dxa"/>
                    <w:right w:w="150" w:type="dxa"/>
                  </w:tcMar>
                </w:tcPr>
                <w:p w14:paraId="3391444C"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Likely</w:t>
                  </w:r>
                </w:p>
              </w:tc>
              <w:tc>
                <w:tcPr>
                  <w:tcW w:w="4000" w:type="pct"/>
                  <w:tcBorders>
                    <w:top w:val="single" w:sz="6" w:space="0" w:color="D8DDEA"/>
                  </w:tcBorders>
                  <w:tcMar>
                    <w:top w:w="60" w:type="dxa"/>
                    <w:left w:w="0" w:type="dxa"/>
                    <w:bottom w:w="60" w:type="dxa"/>
                    <w:right w:w="150" w:type="dxa"/>
                  </w:tcMar>
                </w:tcPr>
                <w:p w14:paraId="66F5E78E" w14:textId="77777777" w:rsidR="00B16DFE" w:rsidRDefault="009F0859">
                  <w:pPr>
                    <w:keepNext/>
                    <w:keepLines/>
                    <w:spacing w:after="0" w:line="240" w:lineRule="atLeast"/>
                    <w:rPr>
                      <w:rFonts w:ascii="Arial" w:eastAsia="Arial" w:hAnsi="Arial" w:cs="Arial"/>
                      <w:sz w:val="16"/>
                      <w:szCs w:val="16"/>
                    </w:rPr>
                  </w:pPr>
                  <w:r>
                    <w:rPr>
                      <w:rFonts w:ascii="Arial" w:eastAsia="Arial" w:hAnsi="Arial" w:cs="Arial"/>
                      <w:color w:val="000000"/>
                      <w:sz w:val="18"/>
                      <w:szCs w:val="18"/>
                    </w:rPr>
                    <w:t xml:space="preserve">A qualitative measure of barriers to entry. Fewer barriers to entry </w:t>
                  </w:r>
                  <w:proofErr w:type="gramStart"/>
                  <w:r>
                    <w:rPr>
                      <w:rFonts w:ascii="Arial" w:eastAsia="Arial" w:hAnsi="Arial" w:cs="Arial"/>
                      <w:color w:val="000000"/>
                      <w:sz w:val="18"/>
                      <w:szCs w:val="18"/>
                    </w:rPr>
                    <w:t>increases</w:t>
                  </w:r>
                  <w:proofErr w:type="gramEnd"/>
                  <w:r>
                    <w:rPr>
                      <w:rFonts w:ascii="Arial" w:eastAsia="Arial" w:hAnsi="Arial" w:cs="Arial"/>
                      <w:color w:val="000000"/>
                      <w:sz w:val="18"/>
                      <w:szCs w:val="18"/>
                    </w:rPr>
                    <w:t xml:space="preserve"> the likelihood that new entrants can disrupt incumbents by putting new technologies to use.</w:t>
                  </w:r>
                </w:p>
              </w:tc>
            </w:tr>
            <w:tr w:rsidR="00B16DFE" w14:paraId="168E7D3E" w14:textId="77777777">
              <w:trPr>
                <w:tblCellSpacing w:w="30" w:type="dxa"/>
              </w:trPr>
              <w:tc>
                <w:tcPr>
                  <w:tcW w:w="600" w:type="dxa"/>
                  <w:tcBorders>
                    <w:top w:val="single" w:sz="6" w:space="0" w:color="D8DDEA"/>
                  </w:tcBorders>
                  <w:tcMar>
                    <w:top w:w="60" w:type="dxa"/>
                    <w:left w:w="0" w:type="dxa"/>
                    <w:bottom w:w="60" w:type="dxa"/>
                    <w:right w:w="150" w:type="dxa"/>
                  </w:tcMar>
                </w:tcPr>
                <w:p w14:paraId="47AF6D99" w14:textId="77777777" w:rsidR="00B16DFE" w:rsidRDefault="009F0859">
                  <w:pPr>
                    <w:keepNext/>
                    <w:keepLines/>
                    <w:spacing w:after="0" w:line="270" w:lineRule="atLeast"/>
                    <w:rPr>
                      <w:rFonts w:ascii="Arial" w:eastAsia="Arial" w:hAnsi="Arial" w:cs="Arial"/>
                      <w:sz w:val="16"/>
                      <w:szCs w:val="16"/>
                    </w:rPr>
                  </w:pPr>
                  <w:r>
                    <w:rPr>
                      <w:noProof/>
                    </w:rPr>
                    <w:drawing>
                      <wp:inline distT="0" distB="0" distL="0" distR="0" wp14:anchorId="0F7754D6" wp14:editId="6FFE5D72">
                        <wp:extent cx="146304" cy="146304"/>
                        <wp:effectExtent l="0" t="0" r="0" b="0"/>
                        <wp:docPr id="141" name="Picture 141" descr="Bad"/>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83" cstate="print"/>
                                <a:stretch>
                                  <a:fillRect/>
                                </a:stretch>
                              </pic:blipFill>
                              <pic:spPr>
                                <a:xfrm>
                                  <a:off x="0" y="0"/>
                                  <a:ext cx="146304" cy="146304"/>
                                </a:xfrm>
                                <a:prstGeom prst="rect">
                                  <a:avLst/>
                                </a:prstGeom>
                              </pic:spPr>
                            </pic:pic>
                          </a:graphicData>
                        </a:graphic>
                      </wp:inline>
                    </w:drawing>
                  </w:r>
                </w:p>
              </w:tc>
              <w:tc>
                <w:tcPr>
                  <w:tcW w:w="1500" w:type="pct"/>
                  <w:tcBorders>
                    <w:top w:val="single" w:sz="6" w:space="0" w:color="D8DDEA"/>
                  </w:tcBorders>
                  <w:tcMar>
                    <w:top w:w="60" w:type="dxa"/>
                    <w:left w:w="0" w:type="dxa"/>
                    <w:bottom w:w="60" w:type="dxa"/>
                    <w:right w:w="150" w:type="dxa"/>
                  </w:tcMar>
                </w:tcPr>
                <w:p w14:paraId="300C7016"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Very High</w:t>
                  </w:r>
                </w:p>
              </w:tc>
              <w:tc>
                <w:tcPr>
                  <w:tcW w:w="2100" w:type="dxa"/>
                  <w:tcBorders>
                    <w:top w:val="single" w:sz="6" w:space="0" w:color="D8DDEA"/>
                  </w:tcBorders>
                  <w:tcMar>
                    <w:top w:w="60" w:type="dxa"/>
                    <w:left w:w="0" w:type="dxa"/>
                    <w:bottom w:w="60" w:type="dxa"/>
                    <w:right w:w="150" w:type="dxa"/>
                  </w:tcMar>
                </w:tcPr>
                <w:p w14:paraId="6834BCE1"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Rate of Entry</w:t>
                  </w:r>
                </w:p>
              </w:tc>
              <w:tc>
                <w:tcPr>
                  <w:tcW w:w="2100" w:type="dxa"/>
                  <w:tcBorders>
                    <w:top w:val="single" w:sz="6" w:space="0" w:color="D8DDEA"/>
                  </w:tcBorders>
                  <w:tcMar>
                    <w:top w:w="60" w:type="dxa"/>
                    <w:left w:w="0" w:type="dxa"/>
                    <w:bottom w:w="60" w:type="dxa"/>
                    <w:right w:w="150" w:type="dxa"/>
                  </w:tcMar>
                </w:tcPr>
                <w:p w14:paraId="4A3EE91E"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DB1F2C"/>
                      <w:sz w:val="21"/>
                      <w:szCs w:val="21"/>
                    </w:rPr>
                    <w:t>Very Likely</w:t>
                  </w:r>
                </w:p>
              </w:tc>
              <w:tc>
                <w:tcPr>
                  <w:tcW w:w="4000" w:type="pct"/>
                  <w:tcBorders>
                    <w:top w:val="single" w:sz="6" w:space="0" w:color="D8DDEA"/>
                  </w:tcBorders>
                  <w:tcMar>
                    <w:top w:w="60" w:type="dxa"/>
                    <w:left w:w="0" w:type="dxa"/>
                    <w:bottom w:w="60" w:type="dxa"/>
                    <w:right w:w="150" w:type="dxa"/>
                  </w:tcMar>
                </w:tcPr>
                <w:p w14:paraId="6A81F485" w14:textId="77777777" w:rsidR="00B16DFE" w:rsidRDefault="009F0859">
                  <w:pPr>
                    <w:keepNext/>
                    <w:keepLines/>
                    <w:spacing w:after="0" w:line="240" w:lineRule="atLeast"/>
                    <w:rPr>
                      <w:rFonts w:ascii="Arial" w:eastAsia="Arial" w:hAnsi="Arial" w:cs="Arial"/>
                      <w:sz w:val="16"/>
                      <w:szCs w:val="16"/>
                    </w:rPr>
                  </w:pPr>
                  <w:r>
                    <w:rPr>
                      <w:rFonts w:ascii="Arial" w:eastAsia="Arial" w:hAnsi="Arial" w:cs="Arial"/>
                      <w:color w:val="000000"/>
                      <w:sz w:val="18"/>
                      <w:szCs w:val="18"/>
                    </w:rPr>
                    <w:t>Annualized growth in the number of enterprises in the industry, ranked against all other industries. A greater intensity of companies entering an industry increases the pool of potential disruptors.</w:t>
                  </w:r>
                </w:p>
              </w:tc>
            </w:tr>
            <w:tr w:rsidR="00B16DFE" w14:paraId="4A2B99F0" w14:textId="77777777">
              <w:trPr>
                <w:tblCellSpacing w:w="30" w:type="dxa"/>
              </w:trPr>
              <w:tc>
                <w:tcPr>
                  <w:tcW w:w="600" w:type="dxa"/>
                  <w:tcBorders>
                    <w:top w:val="single" w:sz="6" w:space="0" w:color="D8DDEA"/>
                    <w:bottom w:val="single" w:sz="6" w:space="0" w:color="D8DDEA"/>
                  </w:tcBorders>
                  <w:tcMar>
                    <w:top w:w="60" w:type="dxa"/>
                    <w:left w:w="0" w:type="dxa"/>
                    <w:bottom w:w="60" w:type="dxa"/>
                    <w:right w:w="150" w:type="dxa"/>
                  </w:tcMar>
                </w:tcPr>
                <w:p w14:paraId="73676EB7" w14:textId="77777777" w:rsidR="00B16DFE" w:rsidRDefault="009F0859">
                  <w:pPr>
                    <w:keepNext/>
                    <w:keepLines/>
                    <w:spacing w:after="0" w:line="270" w:lineRule="atLeast"/>
                    <w:rPr>
                      <w:rFonts w:ascii="Arial" w:eastAsia="Arial" w:hAnsi="Arial" w:cs="Arial"/>
                      <w:sz w:val="16"/>
                      <w:szCs w:val="16"/>
                    </w:rPr>
                  </w:pPr>
                  <w:r>
                    <w:rPr>
                      <w:noProof/>
                    </w:rPr>
                    <w:drawing>
                      <wp:inline distT="0" distB="0" distL="0" distR="0" wp14:anchorId="0C53D81A" wp14:editId="07961053">
                        <wp:extent cx="146304" cy="146304"/>
                        <wp:effectExtent l="0" t="0" r="0" b="0"/>
                        <wp:docPr id="143" name="Picture 143" descr="Good"/>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84" cstate="print"/>
                                <a:stretch>
                                  <a:fillRect/>
                                </a:stretch>
                              </pic:blipFill>
                              <pic:spPr>
                                <a:xfrm>
                                  <a:off x="0" y="0"/>
                                  <a:ext cx="146304" cy="146304"/>
                                </a:xfrm>
                                <a:prstGeom prst="rect">
                                  <a:avLst/>
                                </a:prstGeom>
                              </pic:spPr>
                            </pic:pic>
                          </a:graphicData>
                        </a:graphic>
                      </wp:inline>
                    </w:drawing>
                  </w:r>
                </w:p>
              </w:tc>
              <w:tc>
                <w:tcPr>
                  <w:tcW w:w="1500" w:type="pct"/>
                  <w:tcBorders>
                    <w:top w:val="single" w:sz="6" w:space="0" w:color="D8DDEA"/>
                    <w:bottom w:val="single" w:sz="6" w:space="0" w:color="D8DDEA"/>
                  </w:tcBorders>
                  <w:tcMar>
                    <w:top w:w="60" w:type="dxa"/>
                    <w:left w:w="0" w:type="dxa"/>
                    <w:bottom w:w="60" w:type="dxa"/>
                    <w:right w:w="150" w:type="dxa"/>
                  </w:tcMar>
                </w:tcPr>
                <w:p w14:paraId="620F4F59"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54AA62"/>
                      <w:sz w:val="21"/>
                      <w:szCs w:val="21"/>
                    </w:rPr>
                    <w:t>Low</w:t>
                  </w:r>
                </w:p>
              </w:tc>
              <w:tc>
                <w:tcPr>
                  <w:tcW w:w="2100" w:type="dxa"/>
                  <w:tcBorders>
                    <w:top w:val="single" w:sz="6" w:space="0" w:color="D8DDEA"/>
                    <w:bottom w:val="single" w:sz="6" w:space="0" w:color="D8DDEA"/>
                  </w:tcBorders>
                  <w:tcMar>
                    <w:top w:w="60" w:type="dxa"/>
                    <w:left w:w="0" w:type="dxa"/>
                    <w:bottom w:w="60" w:type="dxa"/>
                    <w:right w:w="150" w:type="dxa"/>
                  </w:tcMar>
                </w:tcPr>
                <w:p w14:paraId="006406B1"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54AA62"/>
                      <w:sz w:val="21"/>
                      <w:szCs w:val="21"/>
                    </w:rPr>
                    <w:t>Market Concent</w:t>
                  </w:r>
                  <w:r>
                    <w:rPr>
                      <w:rFonts w:ascii="Arial" w:eastAsia="Arial" w:hAnsi="Arial" w:cs="Arial"/>
                      <w:color w:val="54AA62"/>
                      <w:sz w:val="21"/>
                      <w:szCs w:val="21"/>
                    </w:rPr>
                    <w:t>ration</w:t>
                  </w:r>
                </w:p>
              </w:tc>
              <w:tc>
                <w:tcPr>
                  <w:tcW w:w="2100" w:type="dxa"/>
                  <w:tcBorders>
                    <w:top w:val="single" w:sz="6" w:space="0" w:color="D8DDEA"/>
                    <w:bottom w:val="single" w:sz="6" w:space="0" w:color="D8DDEA"/>
                  </w:tcBorders>
                  <w:tcMar>
                    <w:top w:w="60" w:type="dxa"/>
                    <w:left w:w="0" w:type="dxa"/>
                    <w:bottom w:w="60" w:type="dxa"/>
                    <w:right w:w="150" w:type="dxa"/>
                  </w:tcMar>
                </w:tcPr>
                <w:p w14:paraId="1861635C" w14:textId="77777777" w:rsidR="00B16DFE" w:rsidRDefault="009F0859">
                  <w:pPr>
                    <w:keepNext/>
                    <w:keepLines/>
                    <w:spacing w:after="0" w:line="270" w:lineRule="atLeast"/>
                    <w:rPr>
                      <w:rFonts w:ascii="Arial" w:eastAsia="Arial" w:hAnsi="Arial" w:cs="Arial"/>
                      <w:sz w:val="16"/>
                      <w:szCs w:val="16"/>
                    </w:rPr>
                  </w:pPr>
                  <w:r>
                    <w:rPr>
                      <w:rFonts w:ascii="Arial" w:eastAsia="Arial" w:hAnsi="Arial" w:cs="Arial"/>
                      <w:color w:val="54AA62"/>
                      <w:sz w:val="21"/>
                      <w:szCs w:val="21"/>
                    </w:rPr>
                    <w:t>Unlikely</w:t>
                  </w:r>
                </w:p>
              </w:tc>
              <w:tc>
                <w:tcPr>
                  <w:tcW w:w="4000" w:type="pct"/>
                  <w:tcBorders>
                    <w:top w:val="single" w:sz="6" w:space="0" w:color="D8DDEA"/>
                    <w:bottom w:val="single" w:sz="6" w:space="0" w:color="D8DDEA"/>
                  </w:tcBorders>
                  <w:tcMar>
                    <w:top w:w="60" w:type="dxa"/>
                    <w:left w:w="0" w:type="dxa"/>
                    <w:bottom w:w="60" w:type="dxa"/>
                    <w:right w:w="150" w:type="dxa"/>
                  </w:tcMar>
                </w:tcPr>
                <w:p w14:paraId="6B2D7698" w14:textId="77777777" w:rsidR="00B16DFE" w:rsidRDefault="009F0859">
                  <w:pPr>
                    <w:keepNext/>
                    <w:keepLines/>
                    <w:spacing w:after="0" w:line="240" w:lineRule="atLeast"/>
                    <w:rPr>
                      <w:rFonts w:ascii="Arial" w:eastAsia="Arial" w:hAnsi="Arial" w:cs="Arial"/>
                      <w:sz w:val="16"/>
                      <w:szCs w:val="16"/>
                    </w:rPr>
                  </w:pPr>
                  <w:r>
                    <w:rPr>
                      <w:rFonts w:ascii="Arial" w:eastAsia="Arial" w:hAnsi="Arial" w:cs="Arial"/>
                      <w:color w:val="000000"/>
                      <w:sz w:val="18"/>
                      <w:szCs w:val="18"/>
                    </w:rPr>
                    <w:t>A ranked measure of the largest core market for the industry. Concentrated core markets present a low-end market or new market entry point for disruptive technologies to capture market share.</w:t>
                  </w:r>
                </w:p>
              </w:tc>
            </w:tr>
          </w:tbl>
          <w:p w14:paraId="05BD6DD3" w14:textId="77777777" w:rsidR="00B16DFE" w:rsidRDefault="00B16DFE"/>
        </w:tc>
      </w:tr>
      <w:tr w:rsidR="00B16DFE" w14:paraId="2D5B46D3" w14:textId="77777777">
        <w:tc>
          <w:tcPr>
            <w:tcW w:w="4000" w:type="pct"/>
            <w:gridSpan w:val="2"/>
          </w:tcPr>
          <w:p w14:paraId="3AB0D800" w14:textId="77777777" w:rsidR="00B16DFE" w:rsidRDefault="009F0859">
            <w:pPr>
              <w:keepNext/>
              <w:keepLines/>
              <w:spacing w:after="0" w:line="225" w:lineRule="atLeast"/>
              <w:rPr>
                <w:rFonts w:ascii="Arial" w:eastAsia="Arial" w:hAnsi="Arial" w:cs="Arial"/>
                <w:sz w:val="16"/>
                <w:szCs w:val="16"/>
              </w:rPr>
            </w:pPr>
            <w:r>
              <w:br/>
            </w:r>
          </w:p>
        </w:tc>
      </w:tr>
      <w:tr w:rsidR="00B16DFE" w14:paraId="5A394A81" w14:textId="77777777">
        <w:tc>
          <w:tcPr>
            <w:tcW w:w="1000" w:type="pct"/>
          </w:tcPr>
          <w:p w14:paraId="21B8E9CA"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4DEDBBC1"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The industry has a high rate of new </w:t>
            </w:r>
            <w:r>
              <w:rPr>
                <w:rFonts w:ascii="Arial" w:eastAsia="Arial" w:hAnsi="Arial" w:cs="Arial"/>
                <w:sz w:val="16"/>
                <w:szCs w:val="16"/>
              </w:rPr>
              <w:t>patent technologies combined with a concentrated focus of patent types. New technology entering the industry increases the likelihood of discontinuous innovations. A concentrated focus of technologies can suggest that the industry itself is focused on sust</w:t>
            </w:r>
            <w:r>
              <w:rPr>
                <w:rFonts w:ascii="Arial" w:eastAsia="Arial" w:hAnsi="Arial" w:cs="Arial"/>
                <w:sz w:val="16"/>
                <w:szCs w:val="16"/>
              </w:rPr>
              <w:t>aining innovations, which may disincentivize incumbents from leveraging non-core technologies.</w:t>
            </w:r>
          </w:p>
          <w:p w14:paraId="3448BEFE"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This technology trend is underscored by structural factors that support new entrants. An accommodative structure can create a situation where small entrants can </w:t>
            </w:r>
            <w:r>
              <w:rPr>
                <w:rFonts w:ascii="Arial" w:eastAsia="Arial" w:hAnsi="Arial" w:cs="Arial"/>
                <w:sz w:val="16"/>
                <w:szCs w:val="16"/>
              </w:rPr>
              <w:t xml:space="preserve">focus on less profitable albeit innovative industry entry points. </w:t>
            </w:r>
            <w:proofErr w:type="gramStart"/>
            <w:r>
              <w:rPr>
                <w:rFonts w:ascii="Arial" w:eastAsia="Arial" w:hAnsi="Arial" w:cs="Arial"/>
                <w:sz w:val="16"/>
                <w:szCs w:val="16"/>
              </w:rPr>
              <w:t>Or,</w:t>
            </w:r>
            <w:proofErr w:type="gramEnd"/>
            <w:r>
              <w:rPr>
                <w:rFonts w:ascii="Arial" w:eastAsia="Arial" w:hAnsi="Arial" w:cs="Arial"/>
                <w:sz w:val="16"/>
                <w:szCs w:val="16"/>
              </w:rPr>
              <w:t xml:space="preserve"> large operators in other industries can leverage expertise in other areas to enter the industry from a new angle.</w:t>
            </w:r>
          </w:p>
          <w:p w14:paraId="65D3F4FB"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Major market segments for industry operators are relatively diversified.</w:t>
            </w:r>
            <w:r>
              <w:rPr>
                <w:rFonts w:ascii="Arial" w:eastAsia="Arial" w:hAnsi="Arial" w:cs="Arial"/>
                <w:sz w:val="16"/>
                <w:szCs w:val="16"/>
              </w:rPr>
              <w:t xml:space="preserve"> The spread of market segments suggests that there are limited entry points other than those already served my incumbent operators.</w:t>
            </w:r>
          </w:p>
          <w:p w14:paraId="0F6A31CE"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 xml:space="preserve">The most recent technology disruption in the industry of travel agencies is the digital technology and the use of </w:t>
            </w:r>
            <w:r>
              <w:rPr>
                <w:rFonts w:ascii="Arial" w:eastAsia="Arial" w:hAnsi="Arial" w:cs="Arial"/>
                <w:b/>
                <w:bCs/>
                <w:color w:val="7A1315"/>
                <w:sz w:val="24"/>
                <w:szCs w:val="24"/>
              </w:rPr>
              <w:t>online automated services or applications.</w:t>
            </w:r>
          </w:p>
          <w:p w14:paraId="78055F89" w14:textId="77777777" w:rsidR="00B16DFE" w:rsidRDefault="00B16DFE">
            <w:pPr>
              <w:keepNext/>
              <w:keepLines/>
              <w:spacing w:after="0" w:line="225" w:lineRule="atLeast"/>
              <w:rPr>
                <w:rFonts w:ascii="Arial" w:eastAsia="Arial" w:hAnsi="Arial" w:cs="Arial"/>
                <w:sz w:val="16"/>
                <w:szCs w:val="16"/>
              </w:rPr>
            </w:pPr>
          </w:p>
          <w:p w14:paraId="012EF15A"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Such applications are used to automatically find the customers suitable travel packages according to their needs. This digital transformation entails the use of chatbots which enhances customer experience. Artifi</w:t>
            </w:r>
            <w:r>
              <w:rPr>
                <w:rFonts w:ascii="Arial" w:eastAsia="Arial" w:hAnsi="Arial" w:cs="Arial"/>
                <w:sz w:val="16"/>
                <w:szCs w:val="16"/>
              </w:rPr>
              <w:t>cial intelligence simplifies travel decisions and shortens the time of purchase.</w:t>
            </w:r>
          </w:p>
          <w:p w14:paraId="00EDB070"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In addition to that, travel agency in the form of mobile applications reduces the need to contact a travel agent office as customers self-modify and personalise their options.</w:t>
            </w:r>
            <w:r>
              <w:rPr>
                <w:rFonts w:ascii="Arial" w:eastAsia="Arial" w:hAnsi="Arial" w:cs="Arial"/>
                <w:sz w:val="16"/>
                <w:szCs w:val="16"/>
              </w:rPr>
              <w:t xml:space="preserve"> Business which </w:t>
            </w:r>
            <w:proofErr w:type="gramStart"/>
            <w:r>
              <w:rPr>
                <w:rFonts w:ascii="Arial" w:eastAsia="Arial" w:hAnsi="Arial" w:cs="Arial"/>
                <w:sz w:val="16"/>
                <w:szCs w:val="16"/>
              </w:rPr>
              <w:t>lag</w:t>
            </w:r>
            <w:proofErr w:type="gramEnd"/>
            <w:r>
              <w:rPr>
                <w:rFonts w:ascii="Arial" w:eastAsia="Arial" w:hAnsi="Arial" w:cs="Arial"/>
                <w:sz w:val="16"/>
                <w:szCs w:val="16"/>
              </w:rPr>
              <w:t xml:space="preserve"> behind this transformation and which show inability to leverage technology are affected negatively. Such business may go out of the </w:t>
            </w:r>
            <w:proofErr w:type="gramStart"/>
            <w:r>
              <w:rPr>
                <w:rFonts w:ascii="Arial" w:eastAsia="Arial" w:hAnsi="Arial" w:cs="Arial"/>
                <w:sz w:val="16"/>
                <w:szCs w:val="16"/>
              </w:rPr>
              <w:t>market, or</w:t>
            </w:r>
            <w:proofErr w:type="gramEnd"/>
            <w:r>
              <w:rPr>
                <w:rFonts w:ascii="Arial" w:eastAsia="Arial" w:hAnsi="Arial" w:cs="Arial"/>
                <w:sz w:val="16"/>
                <w:szCs w:val="16"/>
              </w:rPr>
              <w:t xml:space="preserve"> reduce their </w:t>
            </w:r>
            <w:r>
              <w:rPr>
                <w:rFonts w:ascii="Arial" w:eastAsia="Arial" w:hAnsi="Arial" w:cs="Arial"/>
                <w:sz w:val="16"/>
                <w:szCs w:val="16"/>
              </w:rPr>
              <w:lastRenderedPageBreak/>
              <w:t>workforce to cope with the competition.</w:t>
            </w:r>
          </w:p>
          <w:p w14:paraId="399668A5" w14:textId="77777777" w:rsidR="00B16DFE" w:rsidRDefault="009F0859">
            <w:pPr>
              <w:keepNext/>
              <w:keepLines/>
              <w:spacing w:after="120" w:line="240" w:lineRule="atLeast"/>
              <w:rPr>
                <w:rFonts w:ascii="Arial" w:eastAsia="Arial" w:hAnsi="Arial" w:cs="Arial"/>
                <w:sz w:val="16"/>
                <w:szCs w:val="16"/>
              </w:rPr>
            </w:pPr>
            <w:r>
              <w:rPr>
                <w:rFonts w:ascii="Arial" w:eastAsia="Arial" w:hAnsi="Arial" w:cs="Arial"/>
                <w:b/>
                <w:bCs/>
                <w:sz w:val="18"/>
                <w:szCs w:val="18"/>
              </w:rPr>
              <w:t>The level of technology change is </w:t>
            </w:r>
            <w:r>
              <w:rPr>
                <w:rFonts w:ascii="Arial" w:eastAsia="Arial" w:hAnsi="Arial" w:cs="Arial"/>
                <w:sz w:val="16"/>
                <w:szCs w:val="16"/>
              </w:rPr>
              <w:t xml:space="preserve"> </w:t>
            </w:r>
            <w:r>
              <w:rPr>
                <w:noProof/>
              </w:rPr>
              <w:drawing>
                <wp:inline distT="0" distB="0" distL="0" distR="0" wp14:anchorId="22FD0071" wp14:editId="5F06C30B">
                  <wp:extent cx="91440" cy="91440"/>
                  <wp:effectExtent l="0" t="0" r="0" b="0"/>
                  <wp:docPr id="145" name="Picture 145" descr="Neutral"/>
                  <wp:cNvGraphicFramePr/>
                  <a:graphic xmlns:a="http://schemas.openxmlformats.org/drawingml/2006/main">
                    <a:graphicData uri="http://schemas.openxmlformats.org/drawingml/2006/picture">
                      <pic:pic xmlns:pic="http://schemas.openxmlformats.org/drawingml/2006/picture">
                        <pic:nvPicPr>
                          <pic:cNvPr id="146" name="Picture 146"/>
                          <pic:cNvPicPr/>
                        </pic:nvPicPr>
                        <pic:blipFill>
                          <a:blip r:embed="rId52"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F58232"/>
                <w:sz w:val="18"/>
                <w:szCs w:val="18"/>
              </w:rPr>
              <w:t>Me</w:t>
            </w:r>
            <w:r>
              <w:rPr>
                <w:rFonts w:ascii="Arial" w:eastAsia="Arial" w:hAnsi="Arial" w:cs="Arial"/>
                <w:b/>
                <w:bCs/>
                <w:color w:val="F58232"/>
                <w:sz w:val="18"/>
                <w:szCs w:val="18"/>
              </w:rPr>
              <w:t>dium</w:t>
            </w:r>
          </w:p>
        </w:tc>
      </w:tr>
      <w:tr w:rsidR="00B16DFE" w14:paraId="2E022AB2" w14:textId="77777777">
        <w:tc>
          <w:tcPr>
            <w:tcW w:w="1000" w:type="pct"/>
          </w:tcPr>
          <w:p w14:paraId="62EC302C"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lastRenderedPageBreak/>
              <w:t> </w:t>
            </w:r>
          </w:p>
        </w:tc>
        <w:tc>
          <w:tcPr>
            <w:tcW w:w="4000" w:type="pct"/>
          </w:tcPr>
          <w:p w14:paraId="1A00E4C0"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The industry displays a medium level of technological change.</w:t>
            </w:r>
          </w:p>
          <w:p w14:paraId="2F544848" w14:textId="77777777" w:rsidR="00B16DFE" w:rsidRDefault="00B16DFE">
            <w:pPr>
              <w:keepNext/>
              <w:keepLines/>
              <w:spacing w:after="0" w:line="225" w:lineRule="atLeast"/>
              <w:rPr>
                <w:rFonts w:ascii="Arial" w:eastAsia="Arial" w:hAnsi="Arial" w:cs="Arial"/>
                <w:sz w:val="16"/>
                <w:szCs w:val="16"/>
              </w:rPr>
            </w:pPr>
          </w:p>
          <w:p w14:paraId="4F65C447"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The emergence of widespread internet use and the increasing adoption of IT and telecommunications by both consumers and businesses has led many firms to shift their focus online in </w:t>
            </w:r>
            <w:r>
              <w:rPr>
                <w:rFonts w:ascii="Arial" w:eastAsia="Arial" w:hAnsi="Arial" w:cs="Arial"/>
                <w:sz w:val="16"/>
                <w:szCs w:val="16"/>
              </w:rPr>
              <w:t>order to cut costs, as maintaining a physical store is more expensive for operators. However, this has also shifted demand away from the industry as online access to multiple booking systems enables travellers to do self-service booking independently of an</w:t>
            </w:r>
            <w:r>
              <w:rPr>
                <w:rFonts w:ascii="Arial" w:eastAsia="Arial" w:hAnsi="Arial" w:cs="Arial"/>
                <w:sz w:val="16"/>
                <w:szCs w:val="16"/>
              </w:rPr>
              <w:t xml:space="preserve"> agency.</w:t>
            </w:r>
          </w:p>
          <w:p w14:paraId="0E27B4A2"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Technological advancements surrounding the quality and types of communications platforms have also affected the industry. Video communication technology can personalise the experience of booking a holiday for consumers while enabling firms to forg</w:t>
            </w:r>
            <w:r>
              <w:rPr>
                <w:rFonts w:ascii="Arial" w:eastAsia="Arial" w:hAnsi="Arial" w:cs="Arial"/>
                <w:sz w:val="16"/>
                <w:szCs w:val="16"/>
              </w:rPr>
              <w:t xml:space="preserve">o investments in physical stores. </w:t>
            </w:r>
            <w:proofErr w:type="gramStart"/>
            <w:r>
              <w:rPr>
                <w:rFonts w:ascii="Arial" w:eastAsia="Arial" w:hAnsi="Arial" w:cs="Arial"/>
                <w:sz w:val="16"/>
                <w:szCs w:val="16"/>
              </w:rPr>
              <w:t>The introduction of Voice over Internet Protocol (VoIP),</w:t>
            </w:r>
            <w:proofErr w:type="gramEnd"/>
            <w:r>
              <w:rPr>
                <w:rFonts w:ascii="Arial" w:eastAsia="Arial" w:hAnsi="Arial" w:cs="Arial"/>
                <w:sz w:val="16"/>
                <w:szCs w:val="16"/>
              </w:rPr>
              <w:t xml:space="preserve"> is expected to have significantly lowered costs for operators. VoIP enables travel centre agents to send or receive calls over the internet as opposed to using a sta</w:t>
            </w:r>
            <w:r>
              <w:rPr>
                <w:rFonts w:ascii="Arial" w:eastAsia="Arial" w:hAnsi="Arial" w:cs="Arial"/>
                <w:sz w:val="16"/>
                <w:szCs w:val="16"/>
              </w:rPr>
              <w:t>ndard landline connection. Contacting customers in this way is substantially cheaper than using landlines, though the line quality is not as reliable. In addition, VoIP is primarily used by operators to contact customers domestically, while using VoIP to m</w:t>
            </w:r>
            <w:r>
              <w:rPr>
                <w:rFonts w:ascii="Arial" w:eastAsia="Arial" w:hAnsi="Arial" w:cs="Arial"/>
                <w:sz w:val="16"/>
                <w:szCs w:val="16"/>
              </w:rPr>
              <w:t xml:space="preserve">ake and receive international calls is expected to be </w:t>
            </w:r>
            <w:proofErr w:type="gramStart"/>
            <w:r>
              <w:rPr>
                <w:rFonts w:ascii="Arial" w:eastAsia="Arial" w:hAnsi="Arial" w:cs="Arial"/>
                <w:sz w:val="16"/>
                <w:szCs w:val="16"/>
              </w:rPr>
              <w:t>very expensive</w:t>
            </w:r>
            <w:proofErr w:type="gramEnd"/>
            <w:r>
              <w:rPr>
                <w:rFonts w:ascii="Arial" w:eastAsia="Arial" w:hAnsi="Arial" w:cs="Arial"/>
                <w:sz w:val="16"/>
                <w:szCs w:val="16"/>
              </w:rPr>
              <w:t xml:space="preserve">. This is relevant to the industry as travel agents often </w:t>
            </w:r>
            <w:proofErr w:type="gramStart"/>
            <w:r>
              <w:rPr>
                <w:rFonts w:ascii="Arial" w:eastAsia="Arial" w:hAnsi="Arial" w:cs="Arial"/>
                <w:sz w:val="16"/>
                <w:szCs w:val="16"/>
              </w:rPr>
              <w:t>have to</w:t>
            </w:r>
            <w:proofErr w:type="gramEnd"/>
            <w:r>
              <w:rPr>
                <w:rFonts w:ascii="Arial" w:eastAsia="Arial" w:hAnsi="Arial" w:cs="Arial"/>
                <w:sz w:val="16"/>
                <w:szCs w:val="16"/>
              </w:rPr>
              <w:t xml:space="preserve"> contact overseas tour operators, accommodation providers and other upstream industries, although in this case operators ma</w:t>
            </w:r>
            <w:r>
              <w:rPr>
                <w:rFonts w:ascii="Arial" w:eastAsia="Arial" w:hAnsi="Arial" w:cs="Arial"/>
                <w:sz w:val="16"/>
                <w:szCs w:val="16"/>
              </w:rPr>
              <w:t>y choose to conduct communications via email.</w:t>
            </w:r>
          </w:p>
          <w:p w14:paraId="2449605A"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Social media has become an important tool in marketing and communications in the industry, as businesses are able to build brand awareness and customer relationships. Based on findings from Facebook's IQ 2017 S</w:t>
            </w:r>
            <w:r>
              <w:rPr>
                <w:rFonts w:ascii="Arial" w:eastAsia="Arial" w:hAnsi="Arial" w:cs="Arial"/>
                <w:sz w:val="16"/>
                <w:szCs w:val="16"/>
              </w:rPr>
              <w:t>tudy, 61% of all Instagram users say that they use the app to plan their trips to new places. VisitScotland opened the first ever Instagram Travel Agency in 2017, allowing customers to build their holidays to Scotland based entirely around other people's I</w:t>
            </w:r>
            <w:r>
              <w:rPr>
                <w:rFonts w:ascii="Arial" w:eastAsia="Arial" w:hAnsi="Arial" w:cs="Arial"/>
                <w:sz w:val="16"/>
                <w:szCs w:val="16"/>
              </w:rPr>
              <w:t xml:space="preserve">nstagram photos. Virtual reality has also become a promising tech trend for travel agencies in terms of </w:t>
            </w:r>
            <w:proofErr w:type="gramStart"/>
            <w:r>
              <w:rPr>
                <w:rFonts w:ascii="Arial" w:eastAsia="Arial" w:hAnsi="Arial" w:cs="Arial"/>
                <w:sz w:val="16"/>
                <w:szCs w:val="16"/>
              </w:rPr>
              <w:t>marketing, because</w:t>
            </w:r>
            <w:proofErr w:type="gramEnd"/>
            <w:r>
              <w:rPr>
                <w:rFonts w:ascii="Arial" w:eastAsia="Arial" w:hAnsi="Arial" w:cs="Arial"/>
                <w:sz w:val="16"/>
                <w:szCs w:val="16"/>
              </w:rPr>
              <w:t xml:space="preserve"> it allows them to digitally transport customers to a virtual recreation of a specific place. This affords hotels the opportunity to s</w:t>
            </w:r>
            <w:r>
              <w:rPr>
                <w:rFonts w:ascii="Arial" w:eastAsia="Arial" w:hAnsi="Arial" w:cs="Arial"/>
                <w:sz w:val="16"/>
                <w:szCs w:val="16"/>
              </w:rPr>
              <w:t>howcase their rooms, reception areas and even local tourist hotspots on their website, in order to encourage bookings. Artificial intelligence is also used as a marketing tool by sorting through data and drawing conclusions about trends associated with cus</w:t>
            </w:r>
            <w:r>
              <w:rPr>
                <w:rFonts w:ascii="Arial" w:eastAsia="Arial" w:hAnsi="Arial" w:cs="Arial"/>
                <w:sz w:val="16"/>
                <w:szCs w:val="16"/>
              </w:rPr>
              <w:t>tomer satisfaction and which customers would be most receptive to targeted deals.</w:t>
            </w:r>
          </w:p>
        </w:tc>
      </w:tr>
      <w:tr w:rsidR="00B16DFE" w14:paraId="659628B7" w14:textId="77777777">
        <w:tc>
          <w:tcPr>
            <w:tcW w:w="4000" w:type="pct"/>
            <w:gridSpan w:val="2"/>
          </w:tcPr>
          <w:p w14:paraId="242CCBE0" w14:textId="77777777" w:rsidR="00B16DFE" w:rsidRDefault="00B16DFE">
            <w:pPr>
              <w:keepNext/>
              <w:keepLines/>
              <w:spacing w:after="0" w:line="225" w:lineRule="atLeast"/>
              <w:rPr>
                <w:rFonts w:ascii="Arial" w:eastAsia="Arial" w:hAnsi="Arial" w:cs="Arial"/>
                <w:sz w:val="16"/>
                <w:szCs w:val="16"/>
              </w:rPr>
            </w:pPr>
          </w:p>
        </w:tc>
      </w:tr>
      <w:tr w:rsidR="00B16DFE" w14:paraId="4075C29F" w14:textId="77777777">
        <w:tc>
          <w:tcPr>
            <w:tcW w:w="1000" w:type="pct"/>
          </w:tcPr>
          <w:p w14:paraId="4CA4D43D" w14:textId="77777777" w:rsidR="00B16DFE" w:rsidRDefault="009F0859">
            <w:pPr>
              <w:pStyle w:val="Heading2"/>
              <w:spacing w:before="0" w:line="270" w:lineRule="atLeast"/>
              <w:rPr>
                <w:rFonts w:ascii="Arial" w:eastAsia="Arial" w:hAnsi="Arial" w:cs="Arial"/>
                <w:color w:val="333333"/>
                <w:spacing w:val="4"/>
                <w:sz w:val="21"/>
                <w:szCs w:val="21"/>
              </w:rPr>
            </w:pPr>
            <w:bookmarkStart w:id="32" w:name="_Toc33"/>
            <w:r>
              <w:rPr>
                <w:rFonts w:ascii="Arial" w:eastAsia="Arial" w:hAnsi="Arial" w:cs="Arial"/>
                <w:color w:val="333333"/>
                <w:spacing w:val="4"/>
                <w:sz w:val="21"/>
                <w:szCs w:val="21"/>
              </w:rPr>
              <w:t>Revenue Volatility</w:t>
            </w:r>
            <w:bookmarkEnd w:id="32"/>
          </w:p>
        </w:tc>
        <w:tc>
          <w:tcPr>
            <w:tcW w:w="4000" w:type="pct"/>
          </w:tcPr>
          <w:p w14:paraId="6A6F073E" w14:textId="77777777" w:rsidR="00B16DFE" w:rsidRDefault="009F0859">
            <w:pPr>
              <w:keepNext/>
              <w:keepLines/>
              <w:spacing w:after="120" w:line="240" w:lineRule="atLeast"/>
              <w:rPr>
                <w:rFonts w:ascii="Arial" w:eastAsia="Arial" w:hAnsi="Arial" w:cs="Arial"/>
                <w:sz w:val="16"/>
                <w:szCs w:val="16"/>
              </w:rPr>
            </w:pPr>
            <w:r>
              <w:rPr>
                <w:rFonts w:ascii="Arial" w:eastAsia="Arial" w:hAnsi="Arial" w:cs="Arial"/>
                <w:b/>
                <w:bCs/>
                <w:sz w:val="18"/>
                <w:szCs w:val="18"/>
              </w:rPr>
              <w:t>The level of volatility is </w:t>
            </w:r>
            <w:r>
              <w:rPr>
                <w:rFonts w:ascii="Arial" w:eastAsia="Arial" w:hAnsi="Arial" w:cs="Arial"/>
                <w:sz w:val="16"/>
                <w:szCs w:val="16"/>
              </w:rPr>
              <w:t xml:space="preserve"> </w:t>
            </w:r>
            <w:r>
              <w:rPr>
                <w:noProof/>
              </w:rPr>
              <w:drawing>
                <wp:inline distT="0" distB="0" distL="0" distR="0" wp14:anchorId="21756E97" wp14:editId="3120586B">
                  <wp:extent cx="91440" cy="91440"/>
                  <wp:effectExtent l="0" t="0" r="0" b="0"/>
                  <wp:docPr id="147" name="Picture 147" descr="Neutral"/>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52"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F58232"/>
                <w:sz w:val="18"/>
                <w:szCs w:val="18"/>
              </w:rPr>
              <w:t>Medium</w:t>
            </w:r>
          </w:p>
        </w:tc>
      </w:tr>
      <w:tr w:rsidR="00B16DFE" w14:paraId="3EBDD487" w14:textId="77777777">
        <w:tc>
          <w:tcPr>
            <w:tcW w:w="1000" w:type="pct"/>
          </w:tcPr>
          <w:p w14:paraId="00B81339"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30C633CC" w14:textId="77777777" w:rsidR="00B16DFE" w:rsidRDefault="009F0859">
            <w:pPr>
              <w:keepNext/>
              <w:keepLines/>
              <w:spacing w:after="0" w:line="225" w:lineRule="atLeast"/>
              <w:rPr>
                <w:rFonts w:ascii="Arial" w:eastAsia="Arial" w:hAnsi="Arial" w:cs="Arial"/>
                <w:sz w:val="16"/>
                <w:szCs w:val="16"/>
              </w:rPr>
            </w:pPr>
            <w:r>
              <w:rPr>
                <w:noProof/>
              </w:rPr>
              <w:drawing>
                <wp:inline distT="0" distB="0" distL="0" distR="0" wp14:anchorId="40ECD83D" wp14:editId="59306E0E">
                  <wp:extent cx="5238750" cy="2672832"/>
                  <wp:effectExtent l="0" t="0" r="0" b="0"/>
                  <wp:docPr id="149" name="Picture 149"/>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rId85" cstate="print"/>
                          <a:stretch>
                            <a:fillRect/>
                          </a:stretch>
                        </pic:blipFill>
                        <pic:spPr>
                          <a:xfrm>
                            <a:off x="0" y="0"/>
                            <a:ext cx="5238750" cy="2672832"/>
                          </a:xfrm>
                          <a:prstGeom prst="rect">
                            <a:avLst/>
                          </a:prstGeom>
                        </pic:spPr>
                      </pic:pic>
                    </a:graphicData>
                  </a:graphic>
                </wp:inline>
              </w:drawing>
            </w:r>
          </w:p>
        </w:tc>
      </w:tr>
      <w:tr w:rsidR="00B16DFE" w14:paraId="76ED1C85" w14:textId="77777777">
        <w:tc>
          <w:tcPr>
            <w:tcW w:w="1000" w:type="pct"/>
          </w:tcPr>
          <w:p w14:paraId="138F25F6" w14:textId="77777777" w:rsidR="00B16DFE" w:rsidRDefault="009F0859">
            <w:pPr>
              <w:keepNext/>
              <w:keepLines/>
              <w:spacing w:after="0" w:line="225" w:lineRule="atLeast"/>
              <w:rPr>
                <w:rFonts w:ascii="Arial" w:eastAsia="Arial" w:hAnsi="Arial" w:cs="Arial"/>
                <w:sz w:val="16"/>
                <w:szCs w:val="16"/>
              </w:rPr>
            </w:pPr>
            <w:r>
              <w:rPr>
                <w:rFonts w:ascii="Arial" w:eastAsia="Arial" w:hAnsi="Arial" w:cs="Arial"/>
                <w:sz w:val="16"/>
                <w:szCs w:val="16"/>
              </w:rPr>
              <w:t> </w:t>
            </w:r>
          </w:p>
        </w:tc>
        <w:tc>
          <w:tcPr>
            <w:tcW w:w="4000" w:type="pct"/>
          </w:tcPr>
          <w:p w14:paraId="75B0012A"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Over the five-year period through 2020-21, revenue volatility is expected to be moderate.</w:t>
            </w:r>
          </w:p>
          <w:p w14:paraId="7C29AE4D" w14:textId="77777777" w:rsidR="00B16DFE" w:rsidRDefault="00B16DFE">
            <w:pPr>
              <w:keepNext/>
              <w:keepLines/>
              <w:spacing w:after="0" w:line="225" w:lineRule="atLeast"/>
              <w:rPr>
                <w:rFonts w:ascii="Arial" w:eastAsia="Arial" w:hAnsi="Arial" w:cs="Arial"/>
                <w:sz w:val="16"/>
                <w:szCs w:val="16"/>
              </w:rPr>
            </w:pPr>
          </w:p>
          <w:p w14:paraId="6610BE86"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Revenue </w:t>
            </w:r>
            <w:r>
              <w:rPr>
                <w:rFonts w:ascii="Arial" w:eastAsia="Arial" w:hAnsi="Arial" w:cs="Arial"/>
                <w:sz w:val="16"/>
                <w:szCs w:val="16"/>
              </w:rPr>
              <w:t>volatility was at a moderate level in the base year of the period due to isolated events such as the terrorist attack in Tunisia in June 2015, and the European migrant crisis in 2015, leading to massive disruption to the industry.</w:t>
            </w:r>
          </w:p>
          <w:p w14:paraId="2B6A12F1"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Fluctuations in revenue a</w:t>
            </w:r>
            <w:r>
              <w:rPr>
                <w:rFonts w:ascii="Arial" w:eastAsia="Arial" w:hAnsi="Arial" w:cs="Arial"/>
                <w:sz w:val="16"/>
                <w:szCs w:val="16"/>
              </w:rPr>
              <w:t>re often caused by changes in the wider economy, in particular factors affecting real household disposable income and consumer confidence. If the economy is growing, job opportunities are likely to rise at a greater rate than the number of people looking f</w:t>
            </w:r>
            <w:r>
              <w:rPr>
                <w:rFonts w:ascii="Arial" w:eastAsia="Arial" w:hAnsi="Arial" w:cs="Arial"/>
                <w:sz w:val="16"/>
                <w:szCs w:val="16"/>
              </w:rPr>
              <w:t>or work. Consequently, wages are likely to rise, increasing levels of real household disposable income. When consumers have more money in their pockets, they are likely to go on holiday more often. In addition, the types of holidays they choose are general</w:t>
            </w:r>
            <w:r>
              <w:rPr>
                <w:rFonts w:ascii="Arial" w:eastAsia="Arial" w:hAnsi="Arial" w:cs="Arial"/>
                <w:sz w:val="16"/>
                <w:szCs w:val="16"/>
              </w:rPr>
              <w:t>ly more expensive, contributing to rising to industry revenue. Consumer confidence levels are expected to have a similar effect, increasing in times of economic prosperity, leading consumers to spend more on industry services.</w:t>
            </w:r>
          </w:p>
          <w:p w14:paraId="1F656F7C"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Despite declining economic co</w:t>
            </w:r>
            <w:r>
              <w:rPr>
                <w:rFonts w:ascii="Arial" w:eastAsia="Arial" w:hAnsi="Arial" w:cs="Arial"/>
                <w:sz w:val="16"/>
                <w:szCs w:val="16"/>
              </w:rPr>
              <w:t xml:space="preserve">nditions after the EU referendum in June 2016, revenue remained stable towards the </w:t>
            </w:r>
            <w:r>
              <w:rPr>
                <w:rFonts w:ascii="Arial" w:eastAsia="Arial" w:hAnsi="Arial" w:cs="Arial"/>
                <w:sz w:val="16"/>
                <w:szCs w:val="16"/>
              </w:rPr>
              <w:lastRenderedPageBreak/>
              <w:t>end of the period. The weak pound did not initially deter people from going on holiday, though according to the Association of British Travel Agents, the average number of h</w:t>
            </w:r>
            <w:r>
              <w:rPr>
                <w:rFonts w:ascii="Arial" w:eastAsia="Arial" w:hAnsi="Arial" w:cs="Arial"/>
                <w:sz w:val="16"/>
                <w:szCs w:val="16"/>
              </w:rPr>
              <w:t>olidays taken per person in the United Kingdom fell from 3.8 in 2017 to 3.4 in 2018. This led to a large drop in revenue growth in 2018-19.</w:t>
            </w:r>
          </w:p>
          <w:p w14:paraId="1172A9E9"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Industry revenue is expected to decline over the two years through 2020-21, as a result of the global COVID-19 pande</w:t>
            </w:r>
            <w:r>
              <w:rPr>
                <w:rFonts w:ascii="Arial" w:eastAsia="Arial" w:hAnsi="Arial" w:cs="Arial"/>
                <w:sz w:val="16"/>
                <w:szCs w:val="16"/>
              </w:rPr>
              <w:t xml:space="preserve">mic, which temporarily put a halt to all but essential foreign travel, essentially negating the need for the industry's services. Since July 2020, some countries have been placed on a travel corridor list, meaning individuals </w:t>
            </w:r>
            <w:proofErr w:type="gramStart"/>
            <w:r>
              <w:rPr>
                <w:rFonts w:ascii="Arial" w:eastAsia="Arial" w:hAnsi="Arial" w:cs="Arial"/>
                <w:sz w:val="16"/>
                <w:szCs w:val="16"/>
              </w:rPr>
              <w:t>are allowed to</w:t>
            </w:r>
            <w:proofErr w:type="gramEnd"/>
            <w:r>
              <w:rPr>
                <w:rFonts w:ascii="Arial" w:eastAsia="Arial" w:hAnsi="Arial" w:cs="Arial"/>
                <w:sz w:val="16"/>
                <w:szCs w:val="16"/>
              </w:rPr>
              <w:t xml:space="preserve"> come into the U</w:t>
            </w:r>
            <w:r>
              <w:rPr>
                <w:rFonts w:ascii="Arial" w:eastAsia="Arial" w:hAnsi="Arial" w:cs="Arial"/>
                <w:sz w:val="16"/>
                <w:szCs w:val="16"/>
              </w:rPr>
              <w:t>nited Kingdom from these destinations without having to undergo a 14-day quarantine period. However, the UK government is continually updating the list, meaning many consumers are opting to avoid international travel until the situation becomes more certai</w:t>
            </w:r>
            <w:r>
              <w:rPr>
                <w:rFonts w:ascii="Arial" w:eastAsia="Arial" w:hAnsi="Arial" w:cs="Arial"/>
                <w:sz w:val="16"/>
                <w:szCs w:val="16"/>
              </w:rPr>
              <w:t>n, in order to fully avoid the quarantine period. This is expected to weigh further on industry revenue in the second half of the current year.</w:t>
            </w:r>
          </w:p>
        </w:tc>
      </w:tr>
      <w:tr w:rsidR="00B16DFE" w14:paraId="27991C3A" w14:textId="77777777">
        <w:tc>
          <w:tcPr>
            <w:tcW w:w="4000" w:type="pct"/>
            <w:gridSpan w:val="2"/>
          </w:tcPr>
          <w:p w14:paraId="016C0219" w14:textId="77777777" w:rsidR="00B16DFE" w:rsidRDefault="00B16DFE">
            <w:pPr>
              <w:keepNext/>
              <w:keepLines/>
              <w:spacing w:after="0" w:line="225" w:lineRule="atLeast"/>
              <w:rPr>
                <w:rFonts w:ascii="Arial" w:eastAsia="Arial" w:hAnsi="Arial" w:cs="Arial"/>
                <w:sz w:val="16"/>
                <w:szCs w:val="16"/>
              </w:rPr>
            </w:pPr>
          </w:p>
        </w:tc>
      </w:tr>
      <w:tr w:rsidR="00B16DFE" w14:paraId="4D2C2394" w14:textId="77777777">
        <w:tc>
          <w:tcPr>
            <w:tcW w:w="1000" w:type="pct"/>
          </w:tcPr>
          <w:p w14:paraId="37DC97D1" w14:textId="77777777" w:rsidR="00B16DFE" w:rsidRDefault="009F0859">
            <w:pPr>
              <w:pStyle w:val="Heading2"/>
              <w:spacing w:before="0" w:line="270" w:lineRule="atLeast"/>
              <w:rPr>
                <w:rFonts w:ascii="Arial" w:eastAsia="Arial" w:hAnsi="Arial" w:cs="Arial"/>
                <w:color w:val="333333"/>
                <w:spacing w:val="4"/>
                <w:sz w:val="21"/>
                <w:szCs w:val="21"/>
              </w:rPr>
            </w:pPr>
            <w:bookmarkStart w:id="33" w:name="_Toc34"/>
            <w:r>
              <w:rPr>
                <w:rFonts w:ascii="Arial" w:eastAsia="Arial" w:hAnsi="Arial" w:cs="Arial"/>
                <w:color w:val="333333"/>
                <w:spacing w:val="4"/>
                <w:sz w:val="21"/>
                <w:szCs w:val="21"/>
              </w:rPr>
              <w:t>Regulation &amp; Policy</w:t>
            </w:r>
            <w:bookmarkEnd w:id="33"/>
          </w:p>
        </w:tc>
        <w:tc>
          <w:tcPr>
            <w:tcW w:w="4000" w:type="pct"/>
          </w:tcPr>
          <w:p w14:paraId="24B8FB7D" w14:textId="77777777" w:rsidR="00B16DFE" w:rsidRDefault="009F0859">
            <w:pPr>
              <w:keepNext/>
              <w:keepLines/>
              <w:spacing w:after="180" w:line="240" w:lineRule="atLeast"/>
              <w:rPr>
                <w:rFonts w:ascii="Arial" w:eastAsia="Arial" w:hAnsi="Arial" w:cs="Arial"/>
                <w:sz w:val="16"/>
                <w:szCs w:val="16"/>
              </w:rPr>
            </w:pPr>
            <w:r>
              <w:rPr>
                <w:rFonts w:ascii="Arial" w:eastAsia="Arial" w:hAnsi="Arial" w:cs="Arial"/>
                <w:b/>
                <w:bCs/>
                <w:sz w:val="18"/>
                <w:szCs w:val="18"/>
              </w:rPr>
              <w:t>The level of regulation is </w:t>
            </w:r>
            <w:r>
              <w:rPr>
                <w:rFonts w:ascii="Arial" w:eastAsia="Arial" w:hAnsi="Arial" w:cs="Arial"/>
                <w:sz w:val="16"/>
                <w:szCs w:val="16"/>
              </w:rPr>
              <w:t xml:space="preserve"> </w:t>
            </w:r>
            <w:r>
              <w:rPr>
                <w:noProof/>
              </w:rPr>
              <w:drawing>
                <wp:inline distT="0" distB="0" distL="0" distR="0" wp14:anchorId="31FAFD62" wp14:editId="04D75A78">
                  <wp:extent cx="91440" cy="91440"/>
                  <wp:effectExtent l="0" t="0" r="0" b="0"/>
                  <wp:docPr id="151" name="Picture 151" descr="Neutral"/>
                  <wp:cNvGraphicFramePr/>
                  <a:graphic xmlns:a="http://schemas.openxmlformats.org/drawingml/2006/main">
                    <a:graphicData uri="http://schemas.openxmlformats.org/drawingml/2006/picture">
                      <pic:pic xmlns:pic="http://schemas.openxmlformats.org/drawingml/2006/picture">
                        <pic:nvPicPr>
                          <pic:cNvPr id="152" name="Picture 152"/>
                          <pic:cNvPicPr/>
                        </pic:nvPicPr>
                        <pic:blipFill>
                          <a:blip r:embed="rId52"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F58232"/>
                <w:sz w:val="18"/>
                <w:szCs w:val="18"/>
              </w:rPr>
              <w:t xml:space="preserve">Medium </w:t>
            </w:r>
            <w:r>
              <w:rPr>
                <w:rFonts w:ascii="Arial" w:eastAsia="Arial" w:hAnsi="Arial" w:cs="Arial"/>
                <w:b/>
                <w:bCs/>
                <w:sz w:val="18"/>
                <w:szCs w:val="18"/>
              </w:rPr>
              <w:t>and the trend is Steady</w:t>
            </w:r>
          </w:p>
          <w:p w14:paraId="6794C260"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 xml:space="preserve">Industry firms that </w:t>
            </w:r>
            <w:r>
              <w:rPr>
                <w:rFonts w:ascii="Arial" w:eastAsia="Arial" w:hAnsi="Arial" w:cs="Arial"/>
                <w:b/>
                <w:bCs/>
                <w:color w:val="7A1315"/>
                <w:sz w:val="24"/>
                <w:szCs w:val="24"/>
              </w:rPr>
              <w:t>sell flights must comply with the Civil Aviation Authority's Air Traffic Organisers License (ATOL) Regulations.</w:t>
            </w:r>
          </w:p>
          <w:p w14:paraId="50F1C027" w14:textId="77777777" w:rsidR="00B16DFE" w:rsidRDefault="00B16DFE">
            <w:pPr>
              <w:keepNext/>
              <w:keepLines/>
              <w:spacing w:after="0" w:line="225" w:lineRule="atLeast"/>
              <w:rPr>
                <w:rFonts w:ascii="Arial" w:eastAsia="Arial" w:hAnsi="Arial" w:cs="Arial"/>
                <w:sz w:val="16"/>
                <w:szCs w:val="16"/>
              </w:rPr>
            </w:pPr>
          </w:p>
          <w:p w14:paraId="65658BDB" w14:textId="77777777" w:rsidR="00B16DFE" w:rsidRDefault="009F0859">
            <w:pPr>
              <w:keepNext/>
              <w:keepLines/>
              <w:spacing w:after="300" w:line="225" w:lineRule="atLeast"/>
              <w:rPr>
                <w:rFonts w:ascii="Arial" w:eastAsia="Arial" w:hAnsi="Arial" w:cs="Arial"/>
                <w:sz w:val="16"/>
                <w:szCs w:val="16"/>
              </w:rPr>
            </w:pPr>
            <w:r>
              <w:rPr>
                <w:rFonts w:ascii="Arial" w:eastAsia="Arial" w:hAnsi="Arial" w:cs="Arial"/>
                <w:sz w:val="16"/>
                <w:szCs w:val="16"/>
              </w:rPr>
              <w:t>If a travel company with an ATOL ceases trading, the ATOL scheme protects customers who had booked holidays with the firm. It ensures that they</w:t>
            </w:r>
            <w:r>
              <w:rPr>
                <w:rFonts w:ascii="Arial" w:eastAsia="Arial" w:hAnsi="Arial" w:cs="Arial"/>
                <w:sz w:val="16"/>
                <w:szCs w:val="16"/>
              </w:rPr>
              <w:t xml:space="preserve"> do not get stranded abroad or lose money. In addition, companies that provide in-flight food must also comply with the policy and regulations of the Food Standards Agency in order to protect the health and safety of consumers.</w:t>
            </w:r>
          </w:p>
          <w:p w14:paraId="03B33BC9"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Package holidays are defined</w:t>
            </w:r>
            <w:r>
              <w:rPr>
                <w:rFonts w:ascii="Arial" w:eastAsia="Arial" w:hAnsi="Arial" w:cs="Arial"/>
                <w:sz w:val="16"/>
                <w:szCs w:val="16"/>
              </w:rPr>
              <w:t xml:space="preserve"> as comprising of two or more of the following: accommodation, transport, car rental, and other tourist services such as a tour guide or a trip to a historical attraction. When selling package holidays, operators must adhere to the new Package Travel Regul</w:t>
            </w:r>
            <w:r>
              <w:rPr>
                <w:rFonts w:ascii="Arial" w:eastAsia="Arial" w:hAnsi="Arial" w:cs="Arial"/>
                <w:sz w:val="16"/>
                <w:szCs w:val="16"/>
              </w:rPr>
              <w:t>ations, which came into force in July 2018 and provide financial guarantees and protection to consumers booking such holidays. It is illegal for travel agencies to omit doing this, as failure to do so leaves the consumer financially unprotected. In 2015, t</w:t>
            </w:r>
            <w:r>
              <w:rPr>
                <w:rFonts w:ascii="Arial" w:eastAsia="Arial" w:hAnsi="Arial" w:cs="Arial"/>
                <w:sz w:val="16"/>
                <w:szCs w:val="16"/>
              </w:rPr>
              <w:t>he scope of the directive was expanded to cover approximately 120 million consumers that book other forms of combined travel, such as those that are selected by the consumer themselves.</w:t>
            </w:r>
          </w:p>
          <w:p w14:paraId="0E093EBA"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In the wake of the COVID-19 outbreak, the UK travel sector is calling </w:t>
            </w:r>
            <w:r>
              <w:rPr>
                <w:rFonts w:ascii="Arial" w:eastAsia="Arial" w:hAnsi="Arial" w:cs="Arial"/>
                <w:sz w:val="16"/>
                <w:szCs w:val="16"/>
              </w:rPr>
              <w:t>on the government to make immediate changes to the package travel regulations. Under the existing regulations tour operators are obliged to offer a full refund if elements of the holiday cannot be provided. The Association of British Travel Agents (ABTA) i</w:t>
            </w:r>
            <w:r>
              <w:rPr>
                <w:rFonts w:ascii="Arial" w:eastAsia="Arial" w:hAnsi="Arial" w:cs="Arial"/>
                <w:sz w:val="16"/>
                <w:szCs w:val="16"/>
              </w:rPr>
              <w:t xml:space="preserve">s asking for an emergency government consumer hardship fund to fulfil refund payments; and is also requesting that credits should be allowed as an alternative to cash refunds. In addition, it is calling for the current 14-day window for refund payments to </w:t>
            </w:r>
            <w:r>
              <w:rPr>
                <w:rFonts w:ascii="Arial" w:eastAsia="Arial" w:hAnsi="Arial" w:cs="Arial"/>
                <w:sz w:val="16"/>
                <w:szCs w:val="16"/>
              </w:rPr>
              <w:t>be removed.</w:t>
            </w:r>
          </w:p>
          <w:p w14:paraId="13B81B99"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Compliance costs are not expected to be especially significant for industry operators. However, the failure to protect customers and adhere to relevant legal obligations is likely to incur significant charges.</w:t>
            </w:r>
          </w:p>
          <w:p w14:paraId="19076EA3"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 xml:space="preserve">Although operators do not need </w:t>
            </w:r>
            <w:r>
              <w:rPr>
                <w:rFonts w:ascii="Arial" w:eastAsia="Arial" w:hAnsi="Arial" w:cs="Arial"/>
                <w:sz w:val="16"/>
                <w:szCs w:val="16"/>
              </w:rPr>
              <w:t>any qualifications to set up as a travel agent, their chances of success are greatly increased if they join a trade association, as it boosts reputation as a trustworthy operator. The most widely recognised trade association is the ABTA, although this is a</w:t>
            </w:r>
            <w:r>
              <w:rPr>
                <w:rFonts w:ascii="Arial" w:eastAsia="Arial" w:hAnsi="Arial" w:cs="Arial"/>
                <w:sz w:val="16"/>
                <w:szCs w:val="16"/>
              </w:rPr>
              <w:t xml:space="preserve">lso the most expensive and therefore aimed less at start-ups than the Travel Trust Association or the Global Travel Group. These associations have regularly updated codes of conduct and keep operators up to date with changing regulations, giving customers </w:t>
            </w:r>
            <w:r>
              <w:rPr>
                <w:rFonts w:ascii="Arial" w:eastAsia="Arial" w:hAnsi="Arial" w:cs="Arial"/>
                <w:sz w:val="16"/>
                <w:szCs w:val="16"/>
              </w:rPr>
              <w:t>and the operator protection.</w:t>
            </w:r>
          </w:p>
        </w:tc>
      </w:tr>
      <w:tr w:rsidR="00B16DFE" w14:paraId="7491300A" w14:textId="77777777">
        <w:tc>
          <w:tcPr>
            <w:tcW w:w="4000" w:type="pct"/>
            <w:gridSpan w:val="2"/>
          </w:tcPr>
          <w:p w14:paraId="315DBFBB" w14:textId="77777777" w:rsidR="00B16DFE" w:rsidRDefault="00B16DFE">
            <w:pPr>
              <w:keepNext/>
              <w:keepLines/>
              <w:spacing w:after="0" w:line="225" w:lineRule="atLeast"/>
              <w:rPr>
                <w:rFonts w:ascii="Arial" w:eastAsia="Arial" w:hAnsi="Arial" w:cs="Arial"/>
                <w:sz w:val="16"/>
                <w:szCs w:val="16"/>
              </w:rPr>
            </w:pPr>
          </w:p>
        </w:tc>
      </w:tr>
      <w:tr w:rsidR="00B16DFE" w14:paraId="6BCB6D59" w14:textId="77777777">
        <w:tc>
          <w:tcPr>
            <w:tcW w:w="1000" w:type="pct"/>
          </w:tcPr>
          <w:p w14:paraId="00ECD7F0" w14:textId="77777777" w:rsidR="00B16DFE" w:rsidRDefault="009F0859">
            <w:pPr>
              <w:pStyle w:val="Heading2"/>
              <w:spacing w:before="0" w:line="270" w:lineRule="atLeast"/>
              <w:rPr>
                <w:rFonts w:ascii="Arial" w:eastAsia="Arial" w:hAnsi="Arial" w:cs="Arial"/>
                <w:color w:val="333333"/>
                <w:spacing w:val="4"/>
                <w:sz w:val="21"/>
                <w:szCs w:val="21"/>
              </w:rPr>
            </w:pPr>
            <w:bookmarkStart w:id="34" w:name="_Toc35"/>
            <w:r>
              <w:rPr>
                <w:rFonts w:ascii="Arial" w:eastAsia="Arial" w:hAnsi="Arial" w:cs="Arial"/>
                <w:color w:val="333333"/>
                <w:spacing w:val="4"/>
                <w:sz w:val="21"/>
                <w:szCs w:val="21"/>
              </w:rPr>
              <w:t>Industry Assistance</w:t>
            </w:r>
            <w:bookmarkEnd w:id="34"/>
          </w:p>
        </w:tc>
        <w:tc>
          <w:tcPr>
            <w:tcW w:w="4000" w:type="pct"/>
          </w:tcPr>
          <w:p w14:paraId="1924BFAC" w14:textId="77777777" w:rsidR="00B16DFE" w:rsidRDefault="009F0859">
            <w:pPr>
              <w:keepNext/>
              <w:keepLines/>
              <w:spacing w:after="180" w:line="240" w:lineRule="atLeast"/>
              <w:rPr>
                <w:rFonts w:ascii="Arial" w:eastAsia="Arial" w:hAnsi="Arial" w:cs="Arial"/>
                <w:sz w:val="16"/>
                <w:szCs w:val="16"/>
              </w:rPr>
            </w:pPr>
            <w:r>
              <w:rPr>
                <w:rFonts w:ascii="Arial" w:eastAsia="Arial" w:hAnsi="Arial" w:cs="Arial"/>
                <w:b/>
                <w:bCs/>
                <w:sz w:val="18"/>
                <w:szCs w:val="18"/>
              </w:rPr>
              <w:t>The level of industry assistance is </w:t>
            </w:r>
            <w:r>
              <w:rPr>
                <w:rFonts w:ascii="Arial" w:eastAsia="Arial" w:hAnsi="Arial" w:cs="Arial"/>
                <w:sz w:val="16"/>
                <w:szCs w:val="16"/>
              </w:rPr>
              <w:t xml:space="preserve"> </w:t>
            </w:r>
            <w:r>
              <w:rPr>
                <w:noProof/>
              </w:rPr>
              <w:drawing>
                <wp:inline distT="0" distB="0" distL="0" distR="0" wp14:anchorId="54B6541B" wp14:editId="71C57795">
                  <wp:extent cx="91440" cy="91440"/>
                  <wp:effectExtent l="0" t="0" r="0" b="0"/>
                  <wp:docPr id="153" name="Picture 153" descr="Bad"/>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74" cstate="print"/>
                          <a:stretch>
                            <a:fillRect/>
                          </a:stretch>
                        </pic:blipFill>
                        <pic:spPr>
                          <a:xfrm>
                            <a:off x="0" y="0"/>
                            <a:ext cx="91440" cy="91440"/>
                          </a:xfrm>
                          <a:prstGeom prst="rect">
                            <a:avLst/>
                          </a:prstGeom>
                        </pic:spPr>
                      </pic:pic>
                    </a:graphicData>
                  </a:graphic>
                </wp:inline>
              </w:drawing>
            </w:r>
            <w:r>
              <w:rPr>
                <w:rFonts w:ascii="Arial" w:eastAsia="Arial" w:hAnsi="Arial" w:cs="Arial"/>
                <w:sz w:val="16"/>
                <w:szCs w:val="16"/>
              </w:rPr>
              <w:t xml:space="preserve">  </w:t>
            </w:r>
            <w:r>
              <w:rPr>
                <w:rFonts w:ascii="Arial" w:eastAsia="Arial" w:hAnsi="Arial" w:cs="Arial"/>
                <w:b/>
                <w:bCs/>
                <w:color w:val="DB1F2C"/>
                <w:sz w:val="18"/>
                <w:szCs w:val="18"/>
              </w:rPr>
              <w:t xml:space="preserve">Low </w:t>
            </w:r>
            <w:r>
              <w:rPr>
                <w:rFonts w:ascii="Arial" w:eastAsia="Arial" w:hAnsi="Arial" w:cs="Arial"/>
                <w:b/>
                <w:bCs/>
                <w:sz w:val="18"/>
                <w:szCs w:val="18"/>
              </w:rPr>
              <w:t>and the trend is Steady</w:t>
            </w:r>
          </w:p>
          <w:p w14:paraId="31D9E6C7" w14:textId="77777777" w:rsidR="00B16DFE" w:rsidRDefault="009F0859">
            <w:pPr>
              <w:keepNext/>
              <w:keepLines/>
              <w:spacing w:after="0" w:line="300" w:lineRule="atLeast"/>
              <w:rPr>
                <w:rFonts w:ascii="Arial" w:eastAsia="Arial" w:hAnsi="Arial" w:cs="Arial"/>
                <w:b/>
                <w:bCs/>
                <w:color w:val="7A1315"/>
                <w:sz w:val="24"/>
                <w:szCs w:val="24"/>
              </w:rPr>
            </w:pPr>
            <w:r>
              <w:rPr>
                <w:rFonts w:ascii="Arial" w:eastAsia="Arial" w:hAnsi="Arial" w:cs="Arial"/>
                <w:b/>
                <w:bCs/>
                <w:color w:val="7A1315"/>
                <w:sz w:val="24"/>
                <w:szCs w:val="24"/>
              </w:rPr>
              <w:t xml:space="preserve">The industry does not receive any direct assistance from the government in terms of grants, funds or subsidies, but travel </w:t>
            </w:r>
            <w:r>
              <w:rPr>
                <w:rFonts w:ascii="Arial" w:eastAsia="Arial" w:hAnsi="Arial" w:cs="Arial"/>
                <w:b/>
                <w:bCs/>
                <w:color w:val="7A1315"/>
                <w:sz w:val="24"/>
                <w:szCs w:val="24"/>
              </w:rPr>
              <w:t xml:space="preserve">agencies are likely to benefit indirectly from other government </w:t>
            </w:r>
            <w:proofErr w:type="spellStart"/>
            <w:proofErr w:type="gramStart"/>
            <w:r>
              <w:rPr>
                <w:rFonts w:ascii="Arial" w:eastAsia="Arial" w:hAnsi="Arial" w:cs="Arial"/>
                <w:b/>
                <w:bCs/>
                <w:color w:val="7A1315"/>
                <w:sz w:val="24"/>
                <w:szCs w:val="24"/>
              </w:rPr>
              <w:t>funds.In</w:t>
            </w:r>
            <w:proofErr w:type="spellEnd"/>
            <w:proofErr w:type="gramEnd"/>
            <w:r>
              <w:rPr>
                <w:rFonts w:ascii="Arial" w:eastAsia="Arial" w:hAnsi="Arial" w:cs="Arial"/>
                <w:b/>
                <w:bCs/>
                <w:color w:val="7A1315"/>
                <w:sz w:val="24"/>
                <w:szCs w:val="24"/>
              </w:rPr>
              <w:t xml:space="preserve"> 2012, the government launched the GREAT campaign to encourage tourists to visit the United Kingdom and, as of May 2015, the government had invested £22 million into the campaign.</w:t>
            </w:r>
          </w:p>
          <w:p w14:paraId="0F77359A" w14:textId="77777777" w:rsidR="00B16DFE" w:rsidRDefault="00B16DFE">
            <w:pPr>
              <w:keepNext/>
              <w:keepLines/>
              <w:spacing w:after="0" w:line="225" w:lineRule="atLeast"/>
              <w:rPr>
                <w:rFonts w:ascii="Arial" w:eastAsia="Arial" w:hAnsi="Arial" w:cs="Arial"/>
                <w:sz w:val="16"/>
                <w:szCs w:val="16"/>
              </w:rPr>
            </w:pPr>
          </w:p>
          <w:p w14:paraId="6B5013D8" w14:textId="77777777" w:rsidR="00B16DFE" w:rsidRDefault="009F0859">
            <w:pPr>
              <w:keepNext/>
              <w:keepLines/>
              <w:spacing w:after="180" w:line="225" w:lineRule="atLeast"/>
              <w:rPr>
                <w:rFonts w:ascii="Arial" w:eastAsia="Arial" w:hAnsi="Arial" w:cs="Arial"/>
                <w:sz w:val="16"/>
                <w:szCs w:val="16"/>
              </w:rPr>
            </w:pPr>
            <w:proofErr w:type="spellStart"/>
            <w:r>
              <w:rPr>
                <w:rFonts w:ascii="Arial" w:eastAsia="Arial" w:hAnsi="Arial" w:cs="Arial"/>
                <w:sz w:val="16"/>
                <w:szCs w:val="16"/>
              </w:rPr>
              <w:t>gn.</w:t>
            </w:r>
            <w:proofErr w:type="spellEnd"/>
            <w:r>
              <w:rPr>
                <w:rFonts w:ascii="Arial" w:eastAsia="Arial" w:hAnsi="Arial" w:cs="Arial"/>
                <w:sz w:val="16"/>
                <w:szCs w:val="16"/>
              </w:rPr>
              <w:t xml:space="preserve"> In September 2018 it was reported that the campaign has far exceeded expectations, resulting in a £3.4 billion economic return to date, in what the government claims is its most successful international campaign ever. The GREAT brand is valued at £271 mil</w:t>
            </w:r>
            <w:r>
              <w:rPr>
                <w:rFonts w:ascii="Arial" w:eastAsia="Arial" w:hAnsi="Arial" w:cs="Arial"/>
                <w:sz w:val="16"/>
                <w:szCs w:val="16"/>
              </w:rPr>
              <w:t>lion, according to a recent independent assessment by valuation experts Brand Finance. The campaign involved the promotion of the British countryside, culture, heritage, creativity, innovation, knowledge, shopping, sport, music and technology.</w:t>
            </w:r>
          </w:p>
          <w:p w14:paraId="7A16452E"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t xml:space="preserve">In order to </w:t>
            </w:r>
            <w:r>
              <w:rPr>
                <w:rFonts w:ascii="Arial" w:eastAsia="Arial" w:hAnsi="Arial" w:cs="Arial"/>
                <w:sz w:val="16"/>
                <w:szCs w:val="16"/>
              </w:rPr>
              <w:t xml:space="preserve">further boost tourism across the United Kingdom, in August 2016, the government created the Discover England fund, investing £40 million in projects and organisations in different areas of the United Kingdom to attract tourism outside of London. Operators </w:t>
            </w:r>
            <w:r>
              <w:rPr>
                <w:rFonts w:ascii="Arial" w:eastAsia="Arial" w:hAnsi="Arial" w:cs="Arial"/>
                <w:sz w:val="16"/>
                <w:szCs w:val="16"/>
              </w:rPr>
              <w:t>may benefit indirectly from this through an increase in demand for domestic tourism.</w:t>
            </w:r>
          </w:p>
          <w:p w14:paraId="4368FA1C" w14:textId="77777777" w:rsidR="00B16DFE" w:rsidRDefault="009F0859">
            <w:pPr>
              <w:keepNext/>
              <w:keepLines/>
              <w:spacing w:after="180" w:line="225" w:lineRule="atLeast"/>
              <w:rPr>
                <w:rFonts w:ascii="Arial" w:eastAsia="Arial" w:hAnsi="Arial" w:cs="Arial"/>
                <w:sz w:val="16"/>
                <w:szCs w:val="16"/>
              </w:rPr>
            </w:pPr>
            <w:r>
              <w:rPr>
                <w:rFonts w:ascii="Arial" w:eastAsia="Arial" w:hAnsi="Arial" w:cs="Arial"/>
                <w:sz w:val="16"/>
                <w:szCs w:val="16"/>
              </w:rPr>
              <w:lastRenderedPageBreak/>
              <w:t xml:space="preserve">The industry is also expected to receive indirect assistance through the European Bank for Reconstruction and Development Trade Facilitation Programme which can guarantee </w:t>
            </w:r>
            <w:r>
              <w:rPr>
                <w:rFonts w:ascii="Arial" w:eastAsia="Arial" w:hAnsi="Arial" w:cs="Arial"/>
                <w:sz w:val="16"/>
                <w:szCs w:val="16"/>
              </w:rPr>
              <w:t>any trade transaction to, from and between the countries of operations. This is expected to benefit industry operators, as organising overseas travel requires international transactions. It is unclear whether Britain's exit from the European Union will hav</w:t>
            </w:r>
            <w:r>
              <w:rPr>
                <w:rFonts w:ascii="Arial" w:eastAsia="Arial" w:hAnsi="Arial" w:cs="Arial"/>
                <w:sz w:val="16"/>
                <w:szCs w:val="16"/>
              </w:rPr>
              <w:t>e an impact on operators' access to the programme.</w:t>
            </w:r>
          </w:p>
          <w:p w14:paraId="2D4FDC84" w14:textId="77777777" w:rsidR="00B16DFE" w:rsidRDefault="009F0859">
            <w:pPr>
              <w:keepNext/>
              <w:keepLines/>
              <w:spacing w:after="120" w:line="225" w:lineRule="atLeast"/>
              <w:rPr>
                <w:rFonts w:ascii="Arial" w:eastAsia="Arial" w:hAnsi="Arial" w:cs="Arial"/>
                <w:sz w:val="16"/>
                <w:szCs w:val="16"/>
              </w:rPr>
            </w:pPr>
            <w:r>
              <w:rPr>
                <w:rFonts w:ascii="Arial" w:eastAsia="Arial" w:hAnsi="Arial" w:cs="Arial"/>
                <w:sz w:val="16"/>
                <w:szCs w:val="16"/>
              </w:rPr>
              <w:t>There are multiple industry associations which offer insurance to operators as well as advice and guidance in order to support high service standards, ensure health and safety regulations are met, and prom</w:t>
            </w:r>
            <w:r>
              <w:rPr>
                <w:rFonts w:ascii="Arial" w:eastAsia="Arial" w:hAnsi="Arial" w:cs="Arial"/>
                <w:sz w:val="16"/>
                <w:szCs w:val="16"/>
              </w:rPr>
              <w:t>ote responsible tourism at home and abroad. The most widely recognised trade association is the Association of British Travel Agents; the Travel Trust Association and the Global Travel Group are examples of smaller recognised associations.</w:t>
            </w:r>
          </w:p>
        </w:tc>
      </w:tr>
    </w:tbl>
    <w:p w14:paraId="762ECE6A" w14:textId="77777777" w:rsidR="00B16DFE" w:rsidRDefault="00B16DFE">
      <w:pPr>
        <w:sectPr w:rsidR="00B16DFE">
          <w:headerReference w:type="default" r:id="rId86"/>
          <w:footerReference w:type="default" r:id="rId87"/>
          <w:pgSz w:w="11907" w:h="16839" w:code="9"/>
          <w:pgMar w:top="640" w:right="640" w:bottom="640" w:left="640" w:header="0" w:footer="0" w:gutter="0"/>
          <w:cols w:space="708"/>
          <w:docGrid w:linePitch="360"/>
        </w:sectPr>
      </w:pPr>
    </w:p>
    <w:p w14:paraId="7CB1A5AD" w14:textId="77777777" w:rsidR="00B16DFE" w:rsidRDefault="009F0859">
      <w:pPr>
        <w:pStyle w:val="Heading1"/>
        <w:spacing w:before="0" w:after="240" w:line="420" w:lineRule="atLeast"/>
        <w:rPr>
          <w:rFonts w:ascii="Arial" w:eastAsia="Arial" w:hAnsi="Arial" w:cs="Arial"/>
          <w:b w:val="0"/>
          <w:bCs w:val="0"/>
          <w:color w:val="333333"/>
          <w:sz w:val="36"/>
          <w:szCs w:val="36"/>
        </w:rPr>
      </w:pPr>
      <w:bookmarkStart w:id="35" w:name="_Toc36"/>
      <w:r>
        <w:rPr>
          <w:rFonts w:ascii="Arial" w:eastAsia="Arial" w:hAnsi="Arial" w:cs="Arial"/>
          <w:b w:val="0"/>
          <w:bCs w:val="0"/>
          <w:color w:val="333333"/>
          <w:sz w:val="36"/>
          <w:szCs w:val="36"/>
        </w:rPr>
        <w:lastRenderedPageBreak/>
        <w:t>Key Statistics</w:t>
      </w:r>
      <w:bookmarkEnd w:id="35"/>
    </w:p>
    <w:p w14:paraId="462DD0B6" w14:textId="77777777" w:rsidR="00B16DFE" w:rsidRDefault="009F0859">
      <w:pPr>
        <w:pStyle w:val="Heading2"/>
        <w:spacing w:before="0" w:line="270" w:lineRule="atLeast"/>
        <w:rPr>
          <w:rFonts w:ascii="Arial" w:eastAsia="Arial" w:hAnsi="Arial" w:cs="Arial"/>
          <w:color w:val="333333"/>
          <w:spacing w:val="4"/>
          <w:sz w:val="21"/>
          <w:szCs w:val="21"/>
        </w:rPr>
      </w:pPr>
      <w:bookmarkStart w:id="36" w:name="_Toc37"/>
      <w:r>
        <w:rPr>
          <w:rFonts w:ascii="Arial" w:eastAsia="Arial" w:hAnsi="Arial" w:cs="Arial"/>
          <w:color w:val="333333"/>
          <w:spacing w:val="4"/>
          <w:sz w:val="21"/>
          <w:szCs w:val="21"/>
        </w:rPr>
        <w:t>Industry Data</w:t>
      </w:r>
      <w:bookmarkEnd w:id="36"/>
    </w:p>
    <w:tbl>
      <w:tblPr>
        <w:tblW w:w="0" w:type="auto"/>
        <w:tblCellSpacing w:w="0" w:type="dxa"/>
        <w:tblBorders>
          <w:top w:val="nil"/>
          <w:left w:val="nil"/>
          <w:bottom w:val="nil"/>
          <w:right w:val="nil"/>
          <w:insideH w:val="nil"/>
          <w:insideV w:val="nil"/>
        </w:tblBorders>
        <w:shd w:val="clear" w:color="auto" w:fill="FAFAFA"/>
        <w:tblLook w:val="04A0" w:firstRow="1" w:lastRow="0" w:firstColumn="1" w:lastColumn="0" w:noHBand="0" w:noVBand="1"/>
      </w:tblPr>
      <w:tblGrid>
        <w:gridCol w:w="649"/>
        <w:gridCol w:w="1091"/>
        <w:gridCol w:w="992"/>
        <w:gridCol w:w="1264"/>
        <w:gridCol w:w="1162"/>
        <w:gridCol w:w="1189"/>
        <w:gridCol w:w="1067"/>
        <w:gridCol w:w="1064"/>
        <w:gridCol w:w="1040"/>
        <w:gridCol w:w="1109"/>
      </w:tblGrid>
      <w:tr w:rsidR="00B16DFE" w14:paraId="55E460C3" w14:textId="77777777">
        <w:trPr>
          <w:tblHeader/>
          <w:tblCellSpacing w:w="0" w:type="dxa"/>
        </w:trPr>
        <w:tc>
          <w:tcPr>
            <w:tcW w:w="810" w:type="dxa"/>
            <w:shd w:val="clear" w:color="auto" w:fill="FAFAFA"/>
            <w:tcMar>
              <w:top w:w="30" w:type="dxa"/>
              <w:left w:w="0" w:type="dxa"/>
              <w:bottom w:w="0" w:type="dxa"/>
              <w:right w:w="0" w:type="dxa"/>
            </w:tcMar>
            <w:vAlign w:val="bottom"/>
          </w:tcPr>
          <w:p w14:paraId="66ACC17D"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Year</w:t>
            </w:r>
          </w:p>
        </w:tc>
        <w:tc>
          <w:tcPr>
            <w:tcW w:w="1350" w:type="dxa"/>
            <w:shd w:val="clear" w:color="auto" w:fill="FAFAFA"/>
            <w:tcMar>
              <w:top w:w="30" w:type="dxa"/>
              <w:left w:w="0" w:type="dxa"/>
              <w:bottom w:w="0" w:type="dxa"/>
              <w:right w:w="0" w:type="dxa"/>
            </w:tcMar>
            <w:vAlign w:val="bottom"/>
          </w:tcPr>
          <w:p w14:paraId="0C87BD6B"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Revenue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4E7A5FA7"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IVA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47B462D5"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Establishments </w:t>
            </w:r>
            <w:r>
              <w:br/>
            </w:r>
            <w:r>
              <w:rPr>
                <w:rFonts w:ascii="Arial" w:eastAsia="Arial" w:hAnsi="Arial" w:cs="Arial"/>
                <w:b/>
                <w:bCs/>
                <w:sz w:val="15"/>
                <w:szCs w:val="15"/>
              </w:rPr>
              <w:t>(Units)</w:t>
            </w:r>
          </w:p>
        </w:tc>
        <w:tc>
          <w:tcPr>
            <w:tcW w:w="1350" w:type="dxa"/>
            <w:shd w:val="clear" w:color="auto" w:fill="FAFAFA"/>
            <w:tcMar>
              <w:top w:w="30" w:type="dxa"/>
              <w:left w:w="0" w:type="dxa"/>
              <w:bottom w:w="0" w:type="dxa"/>
              <w:right w:w="0" w:type="dxa"/>
            </w:tcMar>
            <w:vAlign w:val="bottom"/>
          </w:tcPr>
          <w:p w14:paraId="6E40650F"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Enterprises </w:t>
            </w:r>
            <w:r>
              <w:br/>
            </w:r>
            <w:r>
              <w:rPr>
                <w:rFonts w:ascii="Arial" w:eastAsia="Arial" w:hAnsi="Arial" w:cs="Arial"/>
                <w:b/>
                <w:bCs/>
                <w:sz w:val="15"/>
                <w:szCs w:val="15"/>
              </w:rPr>
              <w:t>(Units)</w:t>
            </w:r>
          </w:p>
        </w:tc>
        <w:tc>
          <w:tcPr>
            <w:tcW w:w="1350" w:type="dxa"/>
            <w:shd w:val="clear" w:color="auto" w:fill="FAFAFA"/>
            <w:tcMar>
              <w:top w:w="30" w:type="dxa"/>
              <w:left w:w="0" w:type="dxa"/>
              <w:bottom w:w="0" w:type="dxa"/>
              <w:right w:w="0" w:type="dxa"/>
            </w:tcMar>
            <w:vAlign w:val="bottom"/>
          </w:tcPr>
          <w:p w14:paraId="3771EEEE"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Employment </w:t>
            </w:r>
            <w:r>
              <w:br/>
            </w:r>
            <w:r>
              <w:rPr>
                <w:rFonts w:ascii="Arial" w:eastAsia="Arial" w:hAnsi="Arial" w:cs="Arial"/>
                <w:b/>
                <w:bCs/>
                <w:sz w:val="15"/>
                <w:szCs w:val="15"/>
              </w:rPr>
              <w:t>(Units)</w:t>
            </w:r>
          </w:p>
        </w:tc>
        <w:tc>
          <w:tcPr>
            <w:tcW w:w="1350" w:type="dxa"/>
            <w:shd w:val="clear" w:color="auto" w:fill="FAFAFA"/>
            <w:tcMar>
              <w:top w:w="30" w:type="dxa"/>
              <w:left w:w="0" w:type="dxa"/>
              <w:bottom w:w="0" w:type="dxa"/>
              <w:right w:w="0" w:type="dxa"/>
            </w:tcMar>
            <w:vAlign w:val="bottom"/>
          </w:tcPr>
          <w:p w14:paraId="28E7EB51"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Exports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643B4782"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Imports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51333233"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Wages </w:t>
            </w:r>
            <w:r>
              <w:br/>
            </w:r>
            <w:r>
              <w:rPr>
                <w:rFonts w:ascii="Arial" w:eastAsia="Arial" w:hAnsi="Arial" w:cs="Arial"/>
                <w:b/>
                <w:bCs/>
                <w:sz w:val="15"/>
                <w:szCs w:val="15"/>
              </w:rPr>
              <w:t>(£m)</w:t>
            </w:r>
          </w:p>
        </w:tc>
        <w:tc>
          <w:tcPr>
            <w:tcW w:w="1350" w:type="dxa"/>
            <w:shd w:val="clear" w:color="auto" w:fill="FAFAFA"/>
            <w:tcMar>
              <w:top w:w="30" w:type="dxa"/>
              <w:left w:w="0" w:type="dxa"/>
              <w:bottom w:w="0" w:type="dxa"/>
              <w:right w:w="0" w:type="dxa"/>
            </w:tcMar>
            <w:vAlign w:val="bottom"/>
          </w:tcPr>
          <w:p w14:paraId="34199E8D"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Domestic</w:t>
            </w:r>
            <w:r>
              <w:br/>
            </w:r>
            <w:r>
              <w:rPr>
                <w:rFonts w:ascii="Arial" w:eastAsia="Arial" w:hAnsi="Arial" w:cs="Arial"/>
                <w:b/>
                <w:bCs/>
                <w:sz w:val="15"/>
                <w:szCs w:val="15"/>
              </w:rPr>
              <w:t>Demand (£m)</w:t>
            </w:r>
          </w:p>
        </w:tc>
      </w:tr>
      <w:tr w:rsidR="00B16DFE" w14:paraId="798BAC10" w14:textId="77777777">
        <w:trPr>
          <w:tblCellSpacing w:w="0" w:type="dxa"/>
        </w:trPr>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3560F50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2011-12</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63A3EAD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30,314</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2276601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4,082</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32519F4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7,271</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0058853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3,847</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5EFA823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60,947</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4B61600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71ADC6A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32ABEEC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2,311</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08F3518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05D066C9"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7E54E3F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2012-13</w:t>
            </w:r>
          </w:p>
        </w:tc>
        <w:tc>
          <w:tcPr>
            <w:tcW w:w="0" w:type="auto"/>
            <w:tcBorders>
              <w:bottom w:val="single" w:sz="6" w:space="0" w:color="D8DDEA"/>
            </w:tcBorders>
            <w:shd w:val="clear" w:color="auto" w:fill="FAFAFA"/>
            <w:tcMar>
              <w:top w:w="15" w:type="dxa"/>
              <w:left w:w="0" w:type="dxa"/>
              <w:bottom w:w="15" w:type="dxa"/>
              <w:right w:w="0" w:type="dxa"/>
            </w:tcMar>
            <w:vAlign w:val="center"/>
          </w:tcPr>
          <w:p w14:paraId="19BA41D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29,517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197C971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3,800</w:t>
            </w:r>
          </w:p>
        </w:tc>
        <w:tc>
          <w:tcPr>
            <w:tcW w:w="0" w:type="auto"/>
            <w:tcBorders>
              <w:bottom w:val="single" w:sz="6" w:space="0" w:color="D8DDEA"/>
            </w:tcBorders>
            <w:shd w:val="clear" w:color="auto" w:fill="FAFAFA"/>
            <w:tcMar>
              <w:top w:w="15" w:type="dxa"/>
              <w:left w:w="0" w:type="dxa"/>
              <w:bottom w:w="15" w:type="dxa"/>
              <w:right w:w="0" w:type="dxa"/>
            </w:tcMar>
            <w:vAlign w:val="center"/>
          </w:tcPr>
          <w:p w14:paraId="5BBE34B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7,426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2AF909A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3,794</w:t>
            </w:r>
          </w:p>
        </w:tc>
        <w:tc>
          <w:tcPr>
            <w:tcW w:w="0" w:type="auto"/>
            <w:tcBorders>
              <w:bottom w:val="single" w:sz="6" w:space="0" w:color="D8DDEA"/>
            </w:tcBorders>
            <w:shd w:val="clear" w:color="auto" w:fill="FAFAFA"/>
            <w:tcMar>
              <w:top w:w="15" w:type="dxa"/>
              <w:left w:w="0" w:type="dxa"/>
              <w:bottom w:w="15" w:type="dxa"/>
              <w:right w:w="0" w:type="dxa"/>
            </w:tcMar>
            <w:vAlign w:val="center"/>
          </w:tcPr>
          <w:p w14:paraId="2EF415D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58,835</w:t>
            </w:r>
          </w:p>
        </w:tc>
        <w:tc>
          <w:tcPr>
            <w:tcW w:w="0" w:type="auto"/>
            <w:tcBorders>
              <w:bottom w:val="single" w:sz="6" w:space="0" w:color="D8DDEA"/>
            </w:tcBorders>
            <w:shd w:val="clear" w:color="auto" w:fill="FAFAFA"/>
            <w:tcMar>
              <w:top w:w="15" w:type="dxa"/>
              <w:left w:w="0" w:type="dxa"/>
              <w:bottom w:w="15" w:type="dxa"/>
              <w:right w:w="0" w:type="dxa"/>
            </w:tcMar>
            <w:vAlign w:val="center"/>
          </w:tcPr>
          <w:p w14:paraId="64F6F8E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1B886C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4F180CC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2,168</w:t>
            </w:r>
          </w:p>
        </w:tc>
        <w:tc>
          <w:tcPr>
            <w:tcW w:w="0" w:type="auto"/>
            <w:tcBorders>
              <w:bottom w:val="single" w:sz="6" w:space="0" w:color="D8DDEA"/>
            </w:tcBorders>
            <w:shd w:val="clear" w:color="auto" w:fill="FAFAFA"/>
            <w:tcMar>
              <w:top w:w="15" w:type="dxa"/>
              <w:left w:w="0" w:type="dxa"/>
              <w:bottom w:w="15" w:type="dxa"/>
              <w:right w:w="0" w:type="dxa"/>
            </w:tcMar>
            <w:vAlign w:val="center"/>
          </w:tcPr>
          <w:p w14:paraId="68AE67C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07D00978"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2703DB8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2013-14</w:t>
            </w:r>
          </w:p>
        </w:tc>
        <w:tc>
          <w:tcPr>
            <w:tcW w:w="0" w:type="auto"/>
            <w:tcBorders>
              <w:bottom w:val="single" w:sz="6" w:space="0" w:color="D8DDEA"/>
            </w:tcBorders>
            <w:shd w:val="clear" w:color="auto" w:fill="FAFAFA"/>
            <w:tcMar>
              <w:top w:w="15" w:type="dxa"/>
              <w:left w:w="0" w:type="dxa"/>
              <w:bottom w:w="15" w:type="dxa"/>
              <w:right w:w="0" w:type="dxa"/>
            </w:tcMar>
            <w:vAlign w:val="center"/>
          </w:tcPr>
          <w:p w14:paraId="5A0A825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29,551</w:t>
            </w:r>
          </w:p>
        </w:tc>
        <w:tc>
          <w:tcPr>
            <w:tcW w:w="0" w:type="auto"/>
            <w:tcBorders>
              <w:bottom w:val="single" w:sz="6" w:space="0" w:color="D8DDEA"/>
            </w:tcBorders>
            <w:shd w:val="clear" w:color="auto" w:fill="FAFAFA"/>
            <w:tcMar>
              <w:top w:w="15" w:type="dxa"/>
              <w:left w:w="0" w:type="dxa"/>
              <w:bottom w:w="15" w:type="dxa"/>
              <w:right w:w="0" w:type="dxa"/>
            </w:tcMar>
            <w:vAlign w:val="center"/>
          </w:tcPr>
          <w:p w14:paraId="603746C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4,000</w:t>
            </w:r>
          </w:p>
        </w:tc>
        <w:tc>
          <w:tcPr>
            <w:tcW w:w="0" w:type="auto"/>
            <w:tcBorders>
              <w:bottom w:val="single" w:sz="6" w:space="0" w:color="D8DDEA"/>
            </w:tcBorders>
            <w:shd w:val="clear" w:color="auto" w:fill="FAFAFA"/>
            <w:tcMar>
              <w:top w:w="15" w:type="dxa"/>
              <w:left w:w="0" w:type="dxa"/>
              <w:bottom w:w="15" w:type="dxa"/>
              <w:right w:w="0" w:type="dxa"/>
            </w:tcMar>
            <w:vAlign w:val="center"/>
          </w:tcPr>
          <w:p w14:paraId="43A428B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7,214</w:t>
            </w:r>
          </w:p>
        </w:tc>
        <w:tc>
          <w:tcPr>
            <w:tcW w:w="0" w:type="auto"/>
            <w:tcBorders>
              <w:bottom w:val="single" w:sz="6" w:space="0" w:color="D8DDEA"/>
            </w:tcBorders>
            <w:shd w:val="clear" w:color="auto" w:fill="FAFAFA"/>
            <w:tcMar>
              <w:top w:w="15" w:type="dxa"/>
              <w:left w:w="0" w:type="dxa"/>
              <w:bottom w:w="15" w:type="dxa"/>
              <w:right w:w="0" w:type="dxa"/>
            </w:tcMar>
            <w:vAlign w:val="center"/>
          </w:tcPr>
          <w:p w14:paraId="0BBA290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3,925</w:t>
            </w:r>
          </w:p>
        </w:tc>
        <w:tc>
          <w:tcPr>
            <w:tcW w:w="0" w:type="auto"/>
            <w:tcBorders>
              <w:bottom w:val="single" w:sz="6" w:space="0" w:color="D8DDEA"/>
            </w:tcBorders>
            <w:shd w:val="clear" w:color="auto" w:fill="FAFAFA"/>
            <w:tcMar>
              <w:top w:w="15" w:type="dxa"/>
              <w:left w:w="0" w:type="dxa"/>
              <w:bottom w:w="15" w:type="dxa"/>
              <w:right w:w="0" w:type="dxa"/>
            </w:tcMar>
            <w:vAlign w:val="center"/>
          </w:tcPr>
          <w:p w14:paraId="7FC4CEC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57,991</w:t>
            </w:r>
          </w:p>
        </w:tc>
        <w:tc>
          <w:tcPr>
            <w:tcW w:w="0" w:type="auto"/>
            <w:tcBorders>
              <w:bottom w:val="single" w:sz="6" w:space="0" w:color="D8DDEA"/>
            </w:tcBorders>
            <w:shd w:val="clear" w:color="auto" w:fill="FAFAFA"/>
            <w:tcMar>
              <w:top w:w="15" w:type="dxa"/>
              <w:left w:w="0" w:type="dxa"/>
              <w:bottom w:w="15" w:type="dxa"/>
              <w:right w:w="0" w:type="dxa"/>
            </w:tcMar>
            <w:vAlign w:val="center"/>
          </w:tcPr>
          <w:p w14:paraId="3C3C9A7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BFE33F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21CBD8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2,139</w:t>
            </w:r>
          </w:p>
        </w:tc>
        <w:tc>
          <w:tcPr>
            <w:tcW w:w="0" w:type="auto"/>
            <w:tcBorders>
              <w:bottom w:val="single" w:sz="6" w:space="0" w:color="D8DDEA"/>
            </w:tcBorders>
            <w:shd w:val="clear" w:color="auto" w:fill="FAFAFA"/>
            <w:tcMar>
              <w:top w:w="15" w:type="dxa"/>
              <w:left w:w="0" w:type="dxa"/>
              <w:bottom w:w="15" w:type="dxa"/>
              <w:right w:w="0" w:type="dxa"/>
            </w:tcMar>
            <w:vAlign w:val="center"/>
          </w:tcPr>
          <w:p w14:paraId="039F0D5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5CF25F60"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307F6E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2014-15</w:t>
            </w:r>
          </w:p>
        </w:tc>
        <w:tc>
          <w:tcPr>
            <w:tcW w:w="0" w:type="auto"/>
            <w:tcBorders>
              <w:bottom w:val="single" w:sz="6" w:space="0" w:color="D8DDEA"/>
            </w:tcBorders>
            <w:shd w:val="clear" w:color="auto" w:fill="FAFAFA"/>
            <w:tcMar>
              <w:top w:w="15" w:type="dxa"/>
              <w:left w:w="0" w:type="dxa"/>
              <w:bottom w:w="15" w:type="dxa"/>
              <w:right w:w="0" w:type="dxa"/>
            </w:tcMar>
            <w:vAlign w:val="center"/>
          </w:tcPr>
          <w:p w14:paraId="7398634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30,746</w:t>
            </w:r>
          </w:p>
        </w:tc>
        <w:tc>
          <w:tcPr>
            <w:tcW w:w="0" w:type="auto"/>
            <w:tcBorders>
              <w:bottom w:val="single" w:sz="6" w:space="0" w:color="D8DDEA"/>
            </w:tcBorders>
            <w:shd w:val="clear" w:color="auto" w:fill="FAFAFA"/>
            <w:tcMar>
              <w:top w:w="15" w:type="dxa"/>
              <w:left w:w="0" w:type="dxa"/>
              <w:bottom w:w="15" w:type="dxa"/>
              <w:right w:w="0" w:type="dxa"/>
            </w:tcMar>
            <w:vAlign w:val="center"/>
          </w:tcPr>
          <w:p w14:paraId="382630D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4,037</w:t>
            </w:r>
          </w:p>
        </w:tc>
        <w:tc>
          <w:tcPr>
            <w:tcW w:w="0" w:type="auto"/>
            <w:tcBorders>
              <w:bottom w:val="single" w:sz="6" w:space="0" w:color="D8DDEA"/>
            </w:tcBorders>
            <w:shd w:val="clear" w:color="auto" w:fill="FAFAFA"/>
            <w:tcMar>
              <w:top w:w="15" w:type="dxa"/>
              <w:left w:w="0" w:type="dxa"/>
              <w:bottom w:w="15" w:type="dxa"/>
              <w:right w:w="0" w:type="dxa"/>
            </w:tcMar>
            <w:vAlign w:val="center"/>
          </w:tcPr>
          <w:p w14:paraId="2C2CF7B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7,075</w:t>
            </w:r>
          </w:p>
        </w:tc>
        <w:tc>
          <w:tcPr>
            <w:tcW w:w="0" w:type="auto"/>
            <w:tcBorders>
              <w:bottom w:val="single" w:sz="6" w:space="0" w:color="D8DDEA"/>
            </w:tcBorders>
            <w:shd w:val="clear" w:color="auto" w:fill="FAFAFA"/>
            <w:tcMar>
              <w:top w:w="15" w:type="dxa"/>
              <w:left w:w="0" w:type="dxa"/>
              <w:bottom w:w="15" w:type="dxa"/>
              <w:right w:w="0" w:type="dxa"/>
            </w:tcMar>
            <w:vAlign w:val="center"/>
          </w:tcPr>
          <w:p w14:paraId="5428A74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4,070</w:t>
            </w:r>
          </w:p>
        </w:tc>
        <w:tc>
          <w:tcPr>
            <w:tcW w:w="0" w:type="auto"/>
            <w:tcBorders>
              <w:bottom w:val="single" w:sz="6" w:space="0" w:color="D8DDEA"/>
            </w:tcBorders>
            <w:shd w:val="clear" w:color="auto" w:fill="FAFAFA"/>
            <w:tcMar>
              <w:top w:w="15" w:type="dxa"/>
              <w:left w:w="0" w:type="dxa"/>
              <w:bottom w:w="15" w:type="dxa"/>
              <w:right w:w="0" w:type="dxa"/>
            </w:tcMar>
            <w:vAlign w:val="center"/>
          </w:tcPr>
          <w:p w14:paraId="36A67A0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55,284</w:t>
            </w:r>
          </w:p>
        </w:tc>
        <w:tc>
          <w:tcPr>
            <w:tcW w:w="0" w:type="auto"/>
            <w:tcBorders>
              <w:bottom w:val="single" w:sz="6" w:space="0" w:color="D8DDEA"/>
            </w:tcBorders>
            <w:shd w:val="clear" w:color="auto" w:fill="FAFAFA"/>
            <w:tcMar>
              <w:top w:w="15" w:type="dxa"/>
              <w:left w:w="0" w:type="dxa"/>
              <w:bottom w:w="15" w:type="dxa"/>
              <w:right w:w="0" w:type="dxa"/>
            </w:tcMar>
            <w:vAlign w:val="center"/>
          </w:tcPr>
          <w:p w14:paraId="2BA3541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3DD435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4A6CD2F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2,070</w:t>
            </w:r>
          </w:p>
        </w:tc>
        <w:tc>
          <w:tcPr>
            <w:tcW w:w="0" w:type="auto"/>
            <w:tcBorders>
              <w:bottom w:val="single" w:sz="6" w:space="0" w:color="D8DDEA"/>
            </w:tcBorders>
            <w:shd w:val="clear" w:color="auto" w:fill="FAFAFA"/>
            <w:tcMar>
              <w:top w:w="15" w:type="dxa"/>
              <w:left w:w="0" w:type="dxa"/>
              <w:bottom w:w="15" w:type="dxa"/>
              <w:right w:w="0" w:type="dxa"/>
            </w:tcMar>
            <w:vAlign w:val="center"/>
          </w:tcPr>
          <w:p w14:paraId="4BE64BA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594D7177"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941C7C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2015-16</w:t>
            </w:r>
          </w:p>
        </w:tc>
        <w:tc>
          <w:tcPr>
            <w:tcW w:w="0" w:type="auto"/>
            <w:tcBorders>
              <w:bottom w:val="single" w:sz="6" w:space="0" w:color="D8DDEA"/>
            </w:tcBorders>
            <w:shd w:val="clear" w:color="auto" w:fill="FAFAFA"/>
            <w:tcMar>
              <w:top w:w="15" w:type="dxa"/>
              <w:left w:w="0" w:type="dxa"/>
              <w:bottom w:w="15" w:type="dxa"/>
              <w:right w:w="0" w:type="dxa"/>
            </w:tcMar>
            <w:vAlign w:val="center"/>
          </w:tcPr>
          <w:p w14:paraId="4B9B132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31,701</w:t>
            </w:r>
          </w:p>
        </w:tc>
        <w:tc>
          <w:tcPr>
            <w:tcW w:w="0" w:type="auto"/>
            <w:tcBorders>
              <w:bottom w:val="single" w:sz="6" w:space="0" w:color="D8DDEA"/>
            </w:tcBorders>
            <w:shd w:val="clear" w:color="auto" w:fill="FAFAFA"/>
            <w:tcMar>
              <w:top w:w="15" w:type="dxa"/>
              <w:left w:w="0" w:type="dxa"/>
              <w:bottom w:w="15" w:type="dxa"/>
              <w:right w:w="0" w:type="dxa"/>
            </w:tcMar>
            <w:vAlign w:val="center"/>
          </w:tcPr>
          <w:p w14:paraId="173BDAC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4,364</w:t>
            </w:r>
          </w:p>
        </w:tc>
        <w:tc>
          <w:tcPr>
            <w:tcW w:w="0" w:type="auto"/>
            <w:tcBorders>
              <w:bottom w:val="single" w:sz="6" w:space="0" w:color="D8DDEA"/>
            </w:tcBorders>
            <w:shd w:val="clear" w:color="auto" w:fill="FAFAFA"/>
            <w:tcMar>
              <w:top w:w="15" w:type="dxa"/>
              <w:left w:w="0" w:type="dxa"/>
              <w:bottom w:w="15" w:type="dxa"/>
              <w:right w:w="0" w:type="dxa"/>
            </w:tcMar>
            <w:vAlign w:val="center"/>
          </w:tcPr>
          <w:p w14:paraId="6E43C81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7,332</w:t>
            </w:r>
          </w:p>
        </w:tc>
        <w:tc>
          <w:tcPr>
            <w:tcW w:w="0" w:type="auto"/>
            <w:tcBorders>
              <w:bottom w:val="single" w:sz="6" w:space="0" w:color="D8DDEA"/>
            </w:tcBorders>
            <w:shd w:val="clear" w:color="auto" w:fill="FAFAFA"/>
            <w:tcMar>
              <w:top w:w="15" w:type="dxa"/>
              <w:left w:w="0" w:type="dxa"/>
              <w:bottom w:w="15" w:type="dxa"/>
              <w:right w:w="0" w:type="dxa"/>
            </w:tcMar>
            <w:vAlign w:val="center"/>
          </w:tcPr>
          <w:p w14:paraId="395F4FF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4,414</w:t>
            </w:r>
          </w:p>
        </w:tc>
        <w:tc>
          <w:tcPr>
            <w:tcW w:w="0" w:type="auto"/>
            <w:tcBorders>
              <w:bottom w:val="single" w:sz="6" w:space="0" w:color="D8DDEA"/>
            </w:tcBorders>
            <w:shd w:val="clear" w:color="auto" w:fill="FAFAFA"/>
            <w:tcMar>
              <w:top w:w="15" w:type="dxa"/>
              <w:left w:w="0" w:type="dxa"/>
              <w:bottom w:w="15" w:type="dxa"/>
              <w:right w:w="0" w:type="dxa"/>
            </w:tcMar>
            <w:vAlign w:val="center"/>
          </w:tcPr>
          <w:p w14:paraId="188B0F6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56,801</w:t>
            </w:r>
          </w:p>
        </w:tc>
        <w:tc>
          <w:tcPr>
            <w:tcW w:w="0" w:type="auto"/>
            <w:tcBorders>
              <w:bottom w:val="single" w:sz="6" w:space="0" w:color="D8DDEA"/>
            </w:tcBorders>
            <w:shd w:val="clear" w:color="auto" w:fill="FAFAFA"/>
            <w:tcMar>
              <w:top w:w="15" w:type="dxa"/>
              <w:left w:w="0" w:type="dxa"/>
              <w:bottom w:w="15" w:type="dxa"/>
              <w:right w:w="0" w:type="dxa"/>
            </w:tcMar>
            <w:vAlign w:val="center"/>
          </w:tcPr>
          <w:p w14:paraId="29DA61A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9E1BE0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44300E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2,213</w:t>
            </w:r>
          </w:p>
        </w:tc>
        <w:tc>
          <w:tcPr>
            <w:tcW w:w="0" w:type="auto"/>
            <w:tcBorders>
              <w:bottom w:val="single" w:sz="6" w:space="0" w:color="D8DDEA"/>
            </w:tcBorders>
            <w:shd w:val="clear" w:color="auto" w:fill="FAFAFA"/>
            <w:tcMar>
              <w:top w:w="15" w:type="dxa"/>
              <w:left w:w="0" w:type="dxa"/>
              <w:bottom w:w="15" w:type="dxa"/>
              <w:right w:w="0" w:type="dxa"/>
            </w:tcMar>
            <w:vAlign w:val="center"/>
          </w:tcPr>
          <w:p w14:paraId="3985B3B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177806BF"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0B06BC3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2016-17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1C6F8FF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32,499</w:t>
            </w:r>
          </w:p>
        </w:tc>
        <w:tc>
          <w:tcPr>
            <w:tcW w:w="0" w:type="auto"/>
            <w:tcBorders>
              <w:bottom w:val="single" w:sz="6" w:space="0" w:color="D8DDEA"/>
            </w:tcBorders>
            <w:shd w:val="clear" w:color="auto" w:fill="FAFAFA"/>
            <w:tcMar>
              <w:top w:w="15" w:type="dxa"/>
              <w:left w:w="0" w:type="dxa"/>
              <w:bottom w:w="15" w:type="dxa"/>
              <w:right w:w="0" w:type="dxa"/>
            </w:tcMar>
            <w:vAlign w:val="center"/>
          </w:tcPr>
          <w:p w14:paraId="7EF254C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4,612</w:t>
            </w:r>
          </w:p>
        </w:tc>
        <w:tc>
          <w:tcPr>
            <w:tcW w:w="0" w:type="auto"/>
            <w:tcBorders>
              <w:bottom w:val="single" w:sz="6" w:space="0" w:color="D8DDEA"/>
            </w:tcBorders>
            <w:shd w:val="clear" w:color="auto" w:fill="FAFAFA"/>
            <w:tcMar>
              <w:top w:w="15" w:type="dxa"/>
              <w:left w:w="0" w:type="dxa"/>
              <w:bottom w:w="15" w:type="dxa"/>
              <w:right w:w="0" w:type="dxa"/>
            </w:tcMar>
            <w:vAlign w:val="center"/>
          </w:tcPr>
          <w:p w14:paraId="31AB985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7,511</w:t>
            </w:r>
          </w:p>
        </w:tc>
        <w:tc>
          <w:tcPr>
            <w:tcW w:w="0" w:type="auto"/>
            <w:tcBorders>
              <w:bottom w:val="single" w:sz="6" w:space="0" w:color="D8DDEA"/>
            </w:tcBorders>
            <w:shd w:val="clear" w:color="auto" w:fill="FAFAFA"/>
            <w:tcMar>
              <w:top w:w="15" w:type="dxa"/>
              <w:left w:w="0" w:type="dxa"/>
              <w:bottom w:w="15" w:type="dxa"/>
              <w:right w:w="0" w:type="dxa"/>
            </w:tcMar>
            <w:vAlign w:val="center"/>
          </w:tcPr>
          <w:p w14:paraId="1F00C64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4,690</w:t>
            </w:r>
          </w:p>
        </w:tc>
        <w:tc>
          <w:tcPr>
            <w:tcW w:w="0" w:type="auto"/>
            <w:tcBorders>
              <w:bottom w:val="single" w:sz="6" w:space="0" w:color="D8DDEA"/>
            </w:tcBorders>
            <w:shd w:val="clear" w:color="auto" w:fill="FAFAFA"/>
            <w:tcMar>
              <w:top w:w="15" w:type="dxa"/>
              <w:left w:w="0" w:type="dxa"/>
              <w:bottom w:w="15" w:type="dxa"/>
              <w:right w:w="0" w:type="dxa"/>
            </w:tcMar>
            <w:vAlign w:val="center"/>
          </w:tcPr>
          <w:p w14:paraId="7BC38F3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57,190</w:t>
            </w:r>
          </w:p>
        </w:tc>
        <w:tc>
          <w:tcPr>
            <w:tcW w:w="0" w:type="auto"/>
            <w:tcBorders>
              <w:bottom w:val="single" w:sz="6" w:space="0" w:color="D8DDEA"/>
            </w:tcBorders>
            <w:shd w:val="clear" w:color="auto" w:fill="FAFAFA"/>
            <w:tcMar>
              <w:top w:w="15" w:type="dxa"/>
              <w:left w:w="0" w:type="dxa"/>
              <w:bottom w:w="15" w:type="dxa"/>
              <w:right w:w="0" w:type="dxa"/>
            </w:tcMar>
            <w:vAlign w:val="center"/>
          </w:tcPr>
          <w:p w14:paraId="185A5A1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D3F233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A3695F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2,272</w:t>
            </w:r>
          </w:p>
        </w:tc>
        <w:tc>
          <w:tcPr>
            <w:tcW w:w="0" w:type="auto"/>
            <w:tcBorders>
              <w:bottom w:val="single" w:sz="6" w:space="0" w:color="D8DDEA"/>
            </w:tcBorders>
            <w:shd w:val="clear" w:color="auto" w:fill="FAFAFA"/>
            <w:tcMar>
              <w:top w:w="15" w:type="dxa"/>
              <w:left w:w="0" w:type="dxa"/>
              <w:bottom w:w="15" w:type="dxa"/>
              <w:right w:w="0" w:type="dxa"/>
            </w:tcMar>
            <w:vAlign w:val="center"/>
          </w:tcPr>
          <w:p w14:paraId="7B23621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3B4A2CFC"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72A78BF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2017-18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20B0DCD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35,015</w:t>
            </w:r>
          </w:p>
        </w:tc>
        <w:tc>
          <w:tcPr>
            <w:tcW w:w="0" w:type="auto"/>
            <w:tcBorders>
              <w:bottom w:val="single" w:sz="6" w:space="0" w:color="D8DDEA"/>
            </w:tcBorders>
            <w:shd w:val="clear" w:color="auto" w:fill="FAFAFA"/>
            <w:tcMar>
              <w:top w:w="15" w:type="dxa"/>
              <w:left w:w="0" w:type="dxa"/>
              <w:bottom w:w="15" w:type="dxa"/>
              <w:right w:w="0" w:type="dxa"/>
            </w:tcMar>
            <w:vAlign w:val="center"/>
          </w:tcPr>
          <w:p w14:paraId="3C141B5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4,762</w:t>
            </w:r>
          </w:p>
        </w:tc>
        <w:tc>
          <w:tcPr>
            <w:tcW w:w="0" w:type="auto"/>
            <w:tcBorders>
              <w:bottom w:val="single" w:sz="6" w:space="0" w:color="D8DDEA"/>
            </w:tcBorders>
            <w:shd w:val="clear" w:color="auto" w:fill="FAFAFA"/>
            <w:tcMar>
              <w:top w:w="15" w:type="dxa"/>
              <w:left w:w="0" w:type="dxa"/>
              <w:bottom w:w="15" w:type="dxa"/>
              <w:right w:w="0" w:type="dxa"/>
            </w:tcMar>
            <w:vAlign w:val="center"/>
          </w:tcPr>
          <w:p w14:paraId="6A6A85A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7,258</w:t>
            </w:r>
          </w:p>
        </w:tc>
        <w:tc>
          <w:tcPr>
            <w:tcW w:w="0" w:type="auto"/>
            <w:tcBorders>
              <w:bottom w:val="single" w:sz="6" w:space="0" w:color="D8DDEA"/>
            </w:tcBorders>
            <w:shd w:val="clear" w:color="auto" w:fill="FAFAFA"/>
            <w:tcMar>
              <w:top w:w="15" w:type="dxa"/>
              <w:left w:w="0" w:type="dxa"/>
              <w:bottom w:w="15" w:type="dxa"/>
              <w:right w:w="0" w:type="dxa"/>
            </w:tcMar>
            <w:vAlign w:val="center"/>
          </w:tcPr>
          <w:p w14:paraId="1396C48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4,565</w:t>
            </w:r>
          </w:p>
        </w:tc>
        <w:tc>
          <w:tcPr>
            <w:tcW w:w="0" w:type="auto"/>
            <w:tcBorders>
              <w:bottom w:val="single" w:sz="6" w:space="0" w:color="D8DDEA"/>
            </w:tcBorders>
            <w:shd w:val="clear" w:color="auto" w:fill="FAFAFA"/>
            <w:tcMar>
              <w:top w:w="15" w:type="dxa"/>
              <w:left w:w="0" w:type="dxa"/>
              <w:bottom w:w="15" w:type="dxa"/>
              <w:right w:w="0" w:type="dxa"/>
            </w:tcMar>
            <w:vAlign w:val="center"/>
          </w:tcPr>
          <w:p w14:paraId="19FDDC2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58,449</w:t>
            </w:r>
          </w:p>
        </w:tc>
        <w:tc>
          <w:tcPr>
            <w:tcW w:w="0" w:type="auto"/>
            <w:tcBorders>
              <w:bottom w:val="single" w:sz="6" w:space="0" w:color="D8DDEA"/>
            </w:tcBorders>
            <w:shd w:val="clear" w:color="auto" w:fill="FAFAFA"/>
            <w:tcMar>
              <w:top w:w="15" w:type="dxa"/>
              <w:left w:w="0" w:type="dxa"/>
              <w:bottom w:w="15" w:type="dxa"/>
              <w:right w:w="0" w:type="dxa"/>
            </w:tcMar>
            <w:vAlign w:val="center"/>
          </w:tcPr>
          <w:p w14:paraId="3AF3F36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BCE70F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9D0A1C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2,311</w:t>
            </w:r>
          </w:p>
        </w:tc>
        <w:tc>
          <w:tcPr>
            <w:tcW w:w="0" w:type="auto"/>
            <w:tcBorders>
              <w:bottom w:val="single" w:sz="6" w:space="0" w:color="D8DDEA"/>
            </w:tcBorders>
            <w:shd w:val="clear" w:color="auto" w:fill="FAFAFA"/>
            <w:tcMar>
              <w:top w:w="15" w:type="dxa"/>
              <w:left w:w="0" w:type="dxa"/>
              <w:bottom w:w="15" w:type="dxa"/>
              <w:right w:w="0" w:type="dxa"/>
            </w:tcMar>
            <w:vAlign w:val="center"/>
          </w:tcPr>
          <w:p w14:paraId="53DC08C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7DA2D9F1"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27ACA63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2018-19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2570C68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35,038</w:t>
            </w:r>
          </w:p>
        </w:tc>
        <w:tc>
          <w:tcPr>
            <w:tcW w:w="0" w:type="auto"/>
            <w:tcBorders>
              <w:bottom w:val="single" w:sz="6" w:space="0" w:color="D8DDEA"/>
            </w:tcBorders>
            <w:shd w:val="clear" w:color="auto" w:fill="FAFAFA"/>
            <w:tcMar>
              <w:top w:w="15" w:type="dxa"/>
              <w:left w:w="0" w:type="dxa"/>
              <w:bottom w:w="15" w:type="dxa"/>
              <w:right w:w="0" w:type="dxa"/>
            </w:tcMar>
            <w:vAlign w:val="center"/>
          </w:tcPr>
          <w:p w14:paraId="727CCDE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4,421</w:t>
            </w:r>
          </w:p>
        </w:tc>
        <w:tc>
          <w:tcPr>
            <w:tcW w:w="0" w:type="auto"/>
            <w:tcBorders>
              <w:bottom w:val="single" w:sz="6" w:space="0" w:color="D8DDEA"/>
            </w:tcBorders>
            <w:shd w:val="clear" w:color="auto" w:fill="FAFAFA"/>
            <w:tcMar>
              <w:top w:w="15" w:type="dxa"/>
              <w:left w:w="0" w:type="dxa"/>
              <w:bottom w:w="15" w:type="dxa"/>
              <w:right w:w="0" w:type="dxa"/>
            </w:tcMar>
            <w:vAlign w:val="center"/>
          </w:tcPr>
          <w:p w14:paraId="38F4253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7,402</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4439B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4,619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19663A8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60,027</w:t>
            </w:r>
          </w:p>
        </w:tc>
        <w:tc>
          <w:tcPr>
            <w:tcW w:w="0" w:type="auto"/>
            <w:tcBorders>
              <w:bottom w:val="single" w:sz="6" w:space="0" w:color="D8DDEA"/>
            </w:tcBorders>
            <w:shd w:val="clear" w:color="auto" w:fill="FAFAFA"/>
            <w:tcMar>
              <w:top w:w="15" w:type="dxa"/>
              <w:left w:w="0" w:type="dxa"/>
              <w:bottom w:w="15" w:type="dxa"/>
              <w:right w:w="0" w:type="dxa"/>
            </w:tcMar>
            <w:vAlign w:val="center"/>
          </w:tcPr>
          <w:p w14:paraId="01E0373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1B3219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01C1A7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2,319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7130F13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4717941F"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6B8FE24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2019-20</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E8445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34,518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2E91836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4,204</w:t>
            </w:r>
          </w:p>
        </w:tc>
        <w:tc>
          <w:tcPr>
            <w:tcW w:w="0" w:type="auto"/>
            <w:tcBorders>
              <w:bottom w:val="single" w:sz="6" w:space="0" w:color="D8DDEA"/>
            </w:tcBorders>
            <w:shd w:val="clear" w:color="auto" w:fill="FAFAFA"/>
            <w:tcMar>
              <w:top w:w="15" w:type="dxa"/>
              <w:left w:w="0" w:type="dxa"/>
              <w:bottom w:w="15" w:type="dxa"/>
              <w:right w:w="0" w:type="dxa"/>
            </w:tcMar>
            <w:vAlign w:val="center"/>
          </w:tcPr>
          <w:p w14:paraId="1F6B1E8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7,435</w:t>
            </w:r>
          </w:p>
        </w:tc>
        <w:tc>
          <w:tcPr>
            <w:tcW w:w="0" w:type="auto"/>
            <w:tcBorders>
              <w:bottom w:val="single" w:sz="6" w:space="0" w:color="D8DDEA"/>
            </w:tcBorders>
            <w:shd w:val="clear" w:color="auto" w:fill="FAFAFA"/>
            <w:tcMar>
              <w:top w:w="15" w:type="dxa"/>
              <w:left w:w="0" w:type="dxa"/>
              <w:bottom w:w="15" w:type="dxa"/>
              <w:right w:w="0" w:type="dxa"/>
            </w:tcMar>
            <w:vAlign w:val="center"/>
          </w:tcPr>
          <w:p w14:paraId="6B7ECA2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4,596</w:t>
            </w:r>
          </w:p>
        </w:tc>
        <w:tc>
          <w:tcPr>
            <w:tcW w:w="0" w:type="auto"/>
            <w:tcBorders>
              <w:bottom w:val="single" w:sz="6" w:space="0" w:color="D8DDEA"/>
            </w:tcBorders>
            <w:shd w:val="clear" w:color="auto" w:fill="FAFAFA"/>
            <w:tcMar>
              <w:top w:w="15" w:type="dxa"/>
              <w:left w:w="0" w:type="dxa"/>
              <w:bottom w:w="15" w:type="dxa"/>
              <w:right w:w="0" w:type="dxa"/>
            </w:tcMar>
            <w:vAlign w:val="center"/>
          </w:tcPr>
          <w:p w14:paraId="7A1F15D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59,367</w:t>
            </w:r>
          </w:p>
        </w:tc>
        <w:tc>
          <w:tcPr>
            <w:tcW w:w="0" w:type="auto"/>
            <w:tcBorders>
              <w:bottom w:val="single" w:sz="6" w:space="0" w:color="D8DDEA"/>
            </w:tcBorders>
            <w:shd w:val="clear" w:color="auto" w:fill="FAFAFA"/>
            <w:tcMar>
              <w:top w:w="15" w:type="dxa"/>
              <w:left w:w="0" w:type="dxa"/>
              <w:bottom w:w="15" w:type="dxa"/>
              <w:right w:w="0" w:type="dxa"/>
            </w:tcMar>
            <w:vAlign w:val="center"/>
          </w:tcPr>
          <w:p w14:paraId="1595856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42B0E4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2D0193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2,271</w:t>
            </w:r>
          </w:p>
        </w:tc>
        <w:tc>
          <w:tcPr>
            <w:tcW w:w="0" w:type="auto"/>
            <w:tcBorders>
              <w:bottom w:val="single" w:sz="6" w:space="0" w:color="D8DDEA"/>
            </w:tcBorders>
            <w:shd w:val="clear" w:color="auto" w:fill="FAFAFA"/>
            <w:tcMar>
              <w:top w:w="15" w:type="dxa"/>
              <w:left w:w="0" w:type="dxa"/>
              <w:bottom w:w="15" w:type="dxa"/>
              <w:right w:w="0" w:type="dxa"/>
            </w:tcMar>
            <w:vAlign w:val="center"/>
          </w:tcPr>
          <w:p w14:paraId="2464B8F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58FFC270" w14:textId="77777777">
        <w:trPr>
          <w:tblCellSpacing w:w="0" w:type="dxa"/>
        </w:trPr>
        <w:tc>
          <w:tcPr>
            <w:tcW w:w="0" w:type="auto"/>
            <w:tcBorders>
              <w:bottom w:val="single" w:sz="6" w:space="0" w:color="D8DDEA"/>
            </w:tcBorders>
            <w:shd w:val="clear" w:color="auto" w:fill="D8DDEA"/>
            <w:tcMar>
              <w:top w:w="15" w:type="dxa"/>
              <w:left w:w="0" w:type="dxa"/>
              <w:bottom w:w="15" w:type="dxa"/>
              <w:right w:w="0" w:type="dxa"/>
            </w:tcMar>
            <w:vAlign w:val="center"/>
          </w:tcPr>
          <w:p w14:paraId="6E9A474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2020-21</w:t>
            </w:r>
          </w:p>
        </w:tc>
        <w:tc>
          <w:tcPr>
            <w:tcW w:w="0" w:type="auto"/>
            <w:tcBorders>
              <w:bottom w:val="single" w:sz="6" w:space="0" w:color="D8DDEA"/>
            </w:tcBorders>
            <w:shd w:val="clear" w:color="auto" w:fill="D8DDEA"/>
            <w:tcMar>
              <w:top w:w="15" w:type="dxa"/>
              <w:left w:w="0" w:type="dxa"/>
              <w:bottom w:w="15" w:type="dxa"/>
              <w:right w:w="0" w:type="dxa"/>
            </w:tcMar>
            <w:vAlign w:val="center"/>
          </w:tcPr>
          <w:p w14:paraId="2FAE06E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27,485</w:t>
            </w:r>
          </w:p>
        </w:tc>
        <w:tc>
          <w:tcPr>
            <w:tcW w:w="0" w:type="auto"/>
            <w:tcBorders>
              <w:bottom w:val="single" w:sz="6" w:space="0" w:color="D8DDEA"/>
            </w:tcBorders>
            <w:shd w:val="clear" w:color="auto" w:fill="D8DDEA"/>
            <w:tcMar>
              <w:top w:w="15" w:type="dxa"/>
              <w:left w:w="0" w:type="dxa"/>
              <w:bottom w:w="15" w:type="dxa"/>
              <w:right w:w="0" w:type="dxa"/>
            </w:tcMar>
            <w:vAlign w:val="center"/>
          </w:tcPr>
          <w:p w14:paraId="424A985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2,697</w:t>
            </w:r>
          </w:p>
        </w:tc>
        <w:tc>
          <w:tcPr>
            <w:tcW w:w="0" w:type="auto"/>
            <w:tcBorders>
              <w:bottom w:val="single" w:sz="6" w:space="0" w:color="D8DDEA"/>
            </w:tcBorders>
            <w:shd w:val="clear" w:color="auto" w:fill="D8DDEA"/>
            <w:tcMar>
              <w:top w:w="15" w:type="dxa"/>
              <w:left w:w="0" w:type="dxa"/>
              <w:bottom w:w="15" w:type="dxa"/>
              <w:right w:w="0" w:type="dxa"/>
            </w:tcMar>
            <w:vAlign w:val="center"/>
          </w:tcPr>
          <w:p w14:paraId="42C2263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6,982</w:t>
            </w:r>
          </w:p>
        </w:tc>
        <w:tc>
          <w:tcPr>
            <w:tcW w:w="0" w:type="auto"/>
            <w:tcBorders>
              <w:bottom w:val="single" w:sz="6" w:space="0" w:color="D8DDEA"/>
            </w:tcBorders>
            <w:shd w:val="clear" w:color="auto" w:fill="D8DDEA"/>
            <w:tcMar>
              <w:top w:w="15" w:type="dxa"/>
              <w:left w:w="0" w:type="dxa"/>
              <w:bottom w:w="15" w:type="dxa"/>
              <w:right w:w="0" w:type="dxa"/>
            </w:tcMar>
            <w:vAlign w:val="center"/>
          </w:tcPr>
          <w:p w14:paraId="2D407D5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4,407</w:t>
            </w:r>
          </w:p>
        </w:tc>
        <w:tc>
          <w:tcPr>
            <w:tcW w:w="0" w:type="auto"/>
            <w:tcBorders>
              <w:bottom w:val="single" w:sz="6" w:space="0" w:color="D8DDEA"/>
            </w:tcBorders>
            <w:shd w:val="clear" w:color="auto" w:fill="D8DDEA"/>
            <w:tcMar>
              <w:top w:w="15" w:type="dxa"/>
              <w:left w:w="0" w:type="dxa"/>
              <w:bottom w:w="15" w:type="dxa"/>
              <w:right w:w="0" w:type="dxa"/>
            </w:tcMar>
            <w:vAlign w:val="center"/>
          </w:tcPr>
          <w:p w14:paraId="1E166F3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52,481</w:t>
            </w:r>
          </w:p>
        </w:tc>
        <w:tc>
          <w:tcPr>
            <w:tcW w:w="0" w:type="auto"/>
            <w:tcBorders>
              <w:bottom w:val="single" w:sz="6" w:space="0" w:color="D8DDEA"/>
            </w:tcBorders>
            <w:shd w:val="clear" w:color="auto" w:fill="D8DDEA"/>
            <w:tcMar>
              <w:top w:w="15" w:type="dxa"/>
              <w:left w:w="0" w:type="dxa"/>
              <w:bottom w:w="15" w:type="dxa"/>
              <w:right w:w="0" w:type="dxa"/>
            </w:tcMar>
            <w:vAlign w:val="center"/>
          </w:tcPr>
          <w:p w14:paraId="5DB66D2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D8DDEA"/>
            <w:tcMar>
              <w:top w:w="15" w:type="dxa"/>
              <w:left w:w="0" w:type="dxa"/>
              <w:bottom w:w="15" w:type="dxa"/>
              <w:right w:w="0" w:type="dxa"/>
            </w:tcMar>
            <w:vAlign w:val="center"/>
          </w:tcPr>
          <w:p w14:paraId="3A870E0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D8DDEA"/>
            <w:tcMar>
              <w:top w:w="15" w:type="dxa"/>
              <w:left w:w="0" w:type="dxa"/>
              <w:bottom w:w="15" w:type="dxa"/>
              <w:right w:w="0" w:type="dxa"/>
            </w:tcMar>
            <w:vAlign w:val="center"/>
          </w:tcPr>
          <w:p w14:paraId="6A32ACC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1,872</w:t>
            </w:r>
          </w:p>
        </w:tc>
        <w:tc>
          <w:tcPr>
            <w:tcW w:w="0" w:type="auto"/>
            <w:tcBorders>
              <w:bottom w:val="single" w:sz="6" w:space="0" w:color="D8DDEA"/>
            </w:tcBorders>
            <w:shd w:val="clear" w:color="auto" w:fill="D8DDEA"/>
            <w:tcMar>
              <w:top w:w="15" w:type="dxa"/>
              <w:left w:w="0" w:type="dxa"/>
              <w:bottom w:w="15" w:type="dxa"/>
              <w:right w:w="0" w:type="dxa"/>
            </w:tcMar>
            <w:vAlign w:val="center"/>
          </w:tcPr>
          <w:p w14:paraId="351A9CD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1DDD2C5E"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66D336D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2021-22</w:t>
            </w:r>
          </w:p>
        </w:tc>
        <w:tc>
          <w:tcPr>
            <w:tcW w:w="0" w:type="auto"/>
            <w:tcBorders>
              <w:bottom w:val="single" w:sz="6" w:space="0" w:color="D8DDEA"/>
            </w:tcBorders>
            <w:shd w:val="clear" w:color="auto" w:fill="FAFAFA"/>
            <w:tcMar>
              <w:top w:w="15" w:type="dxa"/>
              <w:left w:w="0" w:type="dxa"/>
              <w:bottom w:w="15" w:type="dxa"/>
              <w:right w:w="0" w:type="dxa"/>
            </w:tcMar>
            <w:vAlign w:val="center"/>
          </w:tcPr>
          <w:p w14:paraId="4FEB2B5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31,388</w:t>
            </w:r>
          </w:p>
        </w:tc>
        <w:tc>
          <w:tcPr>
            <w:tcW w:w="0" w:type="auto"/>
            <w:tcBorders>
              <w:bottom w:val="single" w:sz="6" w:space="0" w:color="D8DDEA"/>
            </w:tcBorders>
            <w:shd w:val="clear" w:color="auto" w:fill="FAFAFA"/>
            <w:tcMar>
              <w:top w:w="15" w:type="dxa"/>
              <w:left w:w="0" w:type="dxa"/>
              <w:bottom w:w="15" w:type="dxa"/>
              <w:right w:w="0" w:type="dxa"/>
            </w:tcMar>
            <w:vAlign w:val="center"/>
          </w:tcPr>
          <w:p w14:paraId="0BE9CD7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3,127</w:t>
            </w:r>
          </w:p>
        </w:tc>
        <w:tc>
          <w:tcPr>
            <w:tcW w:w="0" w:type="auto"/>
            <w:tcBorders>
              <w:bottom w:val="single" w:sz="6" w:space="0" w:color="D8DDEA"/>
            </w:tcBorders>
            <w:shd w:val="clear" w:color="auto" w:fill="FAFAFA"/>
            <w:tcMar>
              <w:top w:w="15" w:type="dxa"/>
              <w:left w:w="0" w:type="dxa"/>
              <w:bottom w:w="15" w:type="dxa"/>
              <w:right w:w="0" w:type="dxa"/>
            </w:tcMar>
            <w:vAlign w:val="center"/>
          </w:tcPr>
          <w:p w14:paraId="237D396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7,142</w:t>
            </w:r>
          </w:p>
        </w:tc>
        <w:tc>
          <w:tcPr>
            <w:tcW w:w="0" w:type="auto"/>
            <w:tcBorders>
              <w:bottom w:val="single" w:sz="6" w:space="0" w:color="D8DDEA"/>
            </w:tcBorders>
            <w:shd w:val="clear" w:color="auto" w:fill="FAFAFA"/>
            <w:tcMar>
              <w:top w:w="15" w:type="dxa"/>
              <w:left w:w="0" w:type="dxa"/>
              <w:bottom w:w="15" w:type="dxa"/>
              <w:right w:w="0" w:type="dxa"/>
            </w:tcMar>
            <w:vAlign w:val="center"/>
          </w:tcPr>
          <w:p w14:paraId="1610346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4,518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06B83E2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56,626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6534F7A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C0D457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42FB05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2,091</w:t>
            </w:r>
          </w:p>
        </w:tc>
        <w:tc>
          <w:tcPr>
            <w:tcW w:w="0" w:type="auto"/>
            <w:tcBorders>
              <w:bottom w:val="single" w:sz="6" w:space="0" w:color="D8DDEA"/>
            </w:tcBorders>
            <w:shd w:val="clear" w:color="auto" w:fill="FAFAFA"/>
            <w:tcMar>
              <w:top w:w="15" w:type="dxa"/>
              <w:left w:w="0" w:type="dxa"/>
              <w:bottom w:w="15" w:type="dxa"/>
              <w:right w:w="0" w:type="dxa"/>
            </w:tcMar>
            <w:vAlign w:val="center"/>
          </w:tcPr>
          <w:p w14:paraId="148DC57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0AC14ED8"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48FBC63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2022-23</w:t>
            </w:r>
          </w:p>
        </w:tc>
        <w:tc>
          <w:tcPr>
            <w:tcW w:w="0" w:type="auto"/>
            <w:tcBorders>
              <w:bottom w:val="single" w:sz="6" w:space="0" w:color="D8DDEA"/>
            </w:tcBorders>
            <w:shd w:val="clear" w:color="auto" w:fill="FAFAFA"/>
            <w:tcMar>
              <w:top w:w="15" w:type="dxa"/>
              <w:left w:w="0" w:type="dxa"/>
              <w:bottom w:w="15" w:type="dxa"/>
              <w:right w:w="0" w:type="dxa"/>
            </w:tcMar>
            <w:vAlign w:val="center"/>
          </w:tcPr>
          <w:p w14:paraId="7DF05BC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32,549</w:t>
            </w:r>
          </w:p>
        </w:tc>
        <w:tc>
          <w:tcPr>
            <w:tcW w:w="0" w:type="auto"/>
            <w:tcBorders>
              <w:bottom w:val="single" w:sz="6" w:space="0" w:color="D8DDEA"/>
            </w:tcBorders>
            <w:shd w:val="clear" w:color="auto" w:fill="FAFAFA"/>
            <w:tcMar>
              <w:top w:w="15" w:type="dxa"/>
              <w:left w:w="0" w:type="dxa"/>
              <w:bottom w:w="15" w:type="dxa"/>
              <w:right w:w="0" w:type="dxa"/>
            </w:tcMar>
            <w:vAlign w:val="center"/>
          </w:tcPr>
          <w:p w14:paraId="08FD26A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4,071</w:t>
            </w:r>
          </w:p>
        </w:tc>
        <w:tc>
          <w:tcPr>
            <w:tcW w:w="0" w:type="auto"/>
            <w:tcBorders>
              <w:bottom w:val="single" w:sz="6" w:space="0" w:color="D8DDEA"/>
            </w:tcBorders>
            <w:shd w:val="clear" w:color="auto" w:fill="FAFAFA"/>
            <w:tcMar>
              <w:top w:w="15" w:type="dxa"/>
              <w:left w:w="0" w:type="dxa"/>
              <w:bottom w:w="15" w:type="dxa"/>
              <w:right w:w="0" w:type="dxa"/>
            </w:tcMar>
            <w:vAlign w:val="center"/>
          </w:tcPr>
          <w:p w14:paraId="72BF996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7,221</w:t>
            </w:r>
          </w:p>
        </w:tc>
        <w:tc>
          <w:tcPr>
            <w:tcW w:w="0" w:type="auto"/>
            <w:tcBorders>
              <w:bottom w:val="single" w:sz="6" w:space="0" w:color="D8DDEA"/>
            </w:tcBorders>
            <w:shd w:val="clear" w:color="auto" w:fill="FAFAFA"/>
            <w:tcMar>
              <w:top w:w="15" w:type="dxa"/>
              <w:left w:w="0" w:type="dxa"/>
              <w:bottom w:w="15" w:type="dxa"/>
              <w:right w:w="0" w:type="dxa"/>
            </w:tcMar>
            <w:vAlign w:val="center"/>
          </w:tcPr>
          <w:p w14:paraId="3B6DA12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4,576</w:t>
            </w:r>
          </w:p>
        </w:tc>
        <w:tc>
          <w:tcPr>
            <w:tcW w:w="0" w:type="auto"/>
            <w:tcBorders>
              <w:bottom w:val="single" w:sz="6" w:space="0" w:color="D8DDEA"/>
            </w:tcBorders>
            <w:shd w:val="clear" w:color="auto" w:fill="FAFAFA"/>
            <w:tcMar>
              <w:top w:w="15" w:type="dxa"/>
              <w:left w:w="0" w:type="dxa"/>
              <w:bottom w:w="15" w:type="dxa"/>
              <w:right w:w="0" w:type="dxa"/>
            </w:tcMar>
            <w:vAlign w:val="center"/>
          </w:tcPr>
          <w:p w14:paraId="77CBEB4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57,533</w:t>
            </w:r>
          </w:p>
        </w:tc>
        <w:tc>
          <w:tcPr>
            <w:tcW w:w="0" w:type="auto"/>
            <w:tcBorders>
              <w:bottom w:val="single" w:sz="6" w:space="0" w:color="D8DDEA"/>
            </w:tcBorders>
            <w:shd w:val="clear" w:color="auto" w:fill="FAFAFA"/>
            <w:tcMar>
              <w:top w:w="15" w:type="dxa"/>
              <w:left w:w="0" w:type="dxa"/>
              <w:bottom w:w="15" w:type="dxa"/>
              <w:right w:w="0" w:type="dxa"/>
            </w:tcMar>
            <w:vAlign w:val="center"/>
          </w:tcPr>
          <w:p w14:paraId="650DA64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7B2026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3143F1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2,151</w:t>
            </w:r>
          </w:p>
        </w:tc>
        <w:tc>
          <w:tcPr>
            <w:tcW w:w="0" w:type="auto"/>
            <w:tcBorders>
              <w:bottom w:val="single" w:sz="6" w:space="0" w:color="D8DDEA"/>
            </w:tcBorders>
            <w:shd w:val="clear" w:color="auto" w:fill="FAFAFA"/>
            <w:tcMar>
              <w:top w:w="15" w:type="dxa"/>
              <w:left w:w="0" w:type="dxa"/>
              <w:bottom w:w="15" w:type="dxa"/>
              <w:right w:w="0" w:type="dxa"/>
            </w:tcMar>
            <w:vAlign w:val="center"/>
          </w:tcPr>
          <w:p w14:paraId="1AC4CB8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77419AA6"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34FA628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2023-24</w:t>
            </w:r>
          </w:p>
        </w:tc>
        <w:tc>
          <w:tcPr>
            <w:tcW w:w="0" w:type="auto"/>
            <w:tcBorders>
              <w:bottom w:val="single" w:sz="6" w:space="0" w:color="D8DDEA"/>
            </w:tcBorders>
            <w:shd w:val="clear" w:color="auto" w:fill="FAFAFA"/>
            <w:tcMar>
              <w:top w:w="15" w:type="dxa"/>
              <w:left w:w="0" w:type="dxa"/>
              <w:bottom w:w="15" w:type="dxa"/>
              <w:right w:w="0" w:type="dxa"/>
            </w:tcMar>
            <w:vAlign w:val="center"/>
          </w:tcPr>
          <w:p w14:paraId="04A389E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33,363</w:t>
            </w:r>
          </w:p>
        </w:tc>
        <w:tc>
          <w:tcPr>
            <w:tcW w:w="0" w:type="auto"/>
            <w:tcBorders>
              <w:bottom w:val="single" w:sz="6" w:space="0" w:color="D8DDEA"/>
            </w:tcBorders>
            <w:shd w:val="clear" w:color="auto" w:fill="FAFAFA"/>
            <w:tcMar>
              <w:top w:w="15" w:type="dxa"/>
              <w:left w:w="0" w:type="dxa"/>
              <w:bottom w:w="15" w:type="dxa"/>
              <w:right w:w="0" w:type="dxa"/>
            </w:tcMar>
            <w:vAlign w:val="center"/>
          </w:tcPr>
          <w:p w14:paraId="10EE0BC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4,358</w:t>
            </w:r>
          </w:p>
        </w:tc>
        <w:tc>
          <w:tcPr>
            <w:tcW w:w="0" w:type="auto"/>
            <w:tcBorders>
              <w:bottom w:val="single" w:sz="6" w:space="0" w:color="D8DDEA"/>
            </w:tcBorders>
            <w:shd w:val="clear" w:color="auto" w:fill="FAFAFA"/>
            <w:tcMar>
              <w:top w:w="15" w:type="dxa"/>
              <w:left w:w="0" w:type="dxa"/>
              <w:bottom w:w="15" w:type="dxa"/>
              <w:right w:w="0" w:type="dxa"/>
            </w:tcMar>
            <w:vAlign w:val="center"/>
          </w:tcPr>
          <w:p w14:paraId="1745C4B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7,286</w:t>
            </w:r>
          </w:p>
        </w:tc>
        <w:tc>
          <w:tcPr>
            <w:tcW w:w="0" w:type="auto"/>
            <w:tcBorders>
              <w:bottom w:val="single" w:sz="6" w:space="0" w:color="D8DDEA"/>
            </w:tcBorders>
            <w:shd w:val="clear" w:color="auto" w:fill="FAFAFA"/>
            <w:tcMar>
              <w:top w:w="15" w:type="dxa"/>
              <w:left w:w="0" w:type="dxa"/>
              <w:bottom w:w="15" w:type="dxa"/>
              <w:right w:w="0" w:type="dxa"/>
            </w:tcMar>
            <w:vAlign w:val="center"/>
          </w:tcPr>
          <w:p w14:paraId="6A98F6B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4,686</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3D16C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57,935</w:t>
            </w:r>
          </w:p>
        </w:tc>
        <w:tc>
          <w:tcPr>
            <w:tcW w:w="0" w:type="auto"/>
            <w:tcBorders>
              <w:bottom w:val="single" w:sz="6" w:space="0" w:color="D8DDEA"/>
            </w:tcBorders>
            <w:shd w:val="clear" w:color="auto" w:fill="FAFAFA"/>
            <w:tcMar>
              <w:top w:w="15" w:type="dxa"/>
              <w:left w:w="0" w:type="dxa"/>
              <w:bottom w:w="15" w:type="dxa"/>
              <w:right w:w="0" w:type="dxa"/>
            </w:tcMar>
            <w:vAlign w:val="center"/>
          </w:tcPr>
          <w:p w14:paraId="079FC3C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725BFC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E3BB22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2,189</w:t>
            </w:r>
          </w:p>
        </w:tc>
        <w:tc>
          <w:tcPr>
            <w:tcW w:w="0" w:type="auto"/>
            <w:tcBorders>
              <w:bottom w:val="single" w:sz="6" w:space="0" w:color="D8DDEA"/>
            </w:tcBorders>
            <w:shd w:val="clear" w:color="auto" w:fill="FAFAFA"/>
            <w:tcMar>
              <w:top w:w="15" w:type="dxa"/>
              <w:left w:w="0" w:type="dxa"/>
              <w:bottom w:w="15" w:type="dxa"/>
              <w:right w:w="0" w:type="dxa"/>
            </w:tcMar>
            <w:vAlign w:val="center"/>
          </w:tcPr>
          <w:p w14:paraId="732F439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677A8AA0"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2AD6D08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2024-25</w:t>
            </w:r>
          </w:p>
        </w:tc>
        <w:tc>
          <w:tcPr>
            <w:tcW w:w="0" w:type="auto"/>
            <w:tcBorders>
              <w:bottom w:val="single" w:sz="6" w:space="0" w:color="D8DDEA"/>
            </w:tcBorders>
            <w:shd w:val="clear" w:color="auto" w:fill="FAFAFA"/>
            <w:tcMar>
              <w:top w:w="15" w:type="dxa"/>
              <w:left w:w="0" w:type="dxa"/>
              <w:bottom w:w="15" w:type="dxa"/>
              <w:right w:w="0" w:type="dxa"/>
            </w:tcMar>
            <w:vAlign w:val="center"/>
          </w:tcPr>
          <w:p w14:paraId="0E0BDA5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34,097</w:t>
            </w:r>
          </w:p>
        </w:tc>
        <w:tc>
          <w:tcPr>
            <w:tcW w:w="0" w:type="auto"/>
            <w:tcBorders>
              <w:bottom w:val="single" w:sz="6" w:space="0" w:color="D8DDEA"/>
            </w:tcBorders>
            <w:shd w:val="clear" w:color="auto" w:fill="FAFAFA"/>
            <w:tcMar>
              <w:top w:w="15" w:type="dxa"/>
              <w:left w:w="0" w:type="dxa"/>
              <w:bottom w:w="15" w:type="dxa"/>
              <w:right w:w="0" w:type="dxa"/>
            </w:tcMar>
            <w:vAlign w:val="center"/>
          </w:tcPr>
          <w:p w14:paraId="77C3EDA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4,510</w:t>
            </w:r>
          </w:p>
        </w:tc>
        <w:tc>
          <w:tcPr>
            <w:tcW w:w="0" w:type="auto"/>
            <w:tcBorders>
              <w:bottom w:val="single" w:sz="6" w:space="0" w:color="D8DDEA"/>
            </w:tcBorders>
            <w:shd w:val="clear" w:color="auto" w:fill="FAFAFA"/>
            <w:tcMar>
              <w:top w:w="15" w:type="dxa"/>
              <w:left w:w="0" w:type="dxa"/>
              <w:bottom w:w="15" w:type="dxa"/>
              <w:right w:w="0" w:type="dxa"/>
            </w:tcMar>
            <w:vAlign w:val="center"/>
          </w:tcPr>
          <w:p w14:paraId="32812CC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7,432</w:t>
            </w:r>
          </w:p>
        </w:tc>
        <w:tc>
          <w:tcPr>
            <w:tcW w:w="0" w:type="auto"/>
            <w:tcBorders>
              <w:bottom w:val="single" w:sz="6" w:space="0" w:color="D8DDEA"/>
            </w:tcBorders>
            <w:shd w:val="clear" w:color="auto" w:fill="FAFAFA"/>
            <w:tcMar>
              <w:top w:w="15" w:type="dxa"/>
              <w:left w:w="0" w:type="dxa"/>
              <w:bottom w:w="15" w:type="dxa"/>
              <w:right w:w="0" w:type="dxa"/>
            </w:tcMar>
            <w:vAlign w:val="center"/>
          </w:tcPr>
          <w:p w14:paraId="209EE98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4,789</w:t>
            </w:r>
          </w:p>
        </w:tc>
        <w:tc>
          <w:tcPr>
            <w:tcW w:w="0" w:type="auto"/>
            <w:tcBorders>
              <w:bottom w:val="single" w:sz="6" w:space="0" w:color="D8DDEA"/>
            </w:tcBorders>
            <w:shd w:val="clear" w:color="auto" w:fill="FAFAFA"/>
            <w:tcMar>
              <w:top w:w="15" w:type="dxa"/>
              <w:left w:w="0" w:type="dxa"/>
              <w:bottom w:w="15" w:type="dxa"/>
              <w:right w:w="0" w:type="dxa"/>
            </w:tcMar>
            <w:vAlign w:val="center"/>
          </w:tcPr>
          <w:p w14:paraId="0B713B0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58,457</w:t>
            </w:r>
          </w:p>
        </w:tc>
        <w:tc>
          <w:tcPr>
            <w:tcW w:w="0" w:type="auto"/>
            <w:tcBorders>
              <w:bottom w:val="single" w:sz="6" w:space="0" w:color="D8DDEA"/>
            </w:tcBorders>
            <w:shd w:val="clear" w:color="auto" w:fill="FAFAFA"/>
            <w:tcMar>
              <w:top w:w="15" w:type="dxa"/>
              <w:left w:w="0" w:type="dxa"/>
              <w:bottom w:w="15" w:type="dxa"/>
              <w:right w:w="0" w:type="dxa"/>
            </w:tcMar>
            <w:vAlign w:val="center"/>
          </w:tcPr>
          <w:p w14:paraId="11F25FB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A4F106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63605B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4186B27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472984ED"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632509D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2025-26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1EF6942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34,711</w:t>
            </w:r>
          </w:p>
        </w:tc>
        <w:tc>
          <w:tcPr>
            <w:tcW w:w="0" w:type="auto"/>
            <w:tcBorders>
              <w:bottom w:val="single" w:sz="6" w:space="0" w:color="D8DDEA"/>
            </w:tcBorders>
            <w:shd w:val="clear" w:color="auto" w:fill="FAFAFA"/>
            <w:tcMar>
              <w:top w:w="15" w:type="dxa"/>
              <w:left w:w="0" w:type="dxa"/>
              <w:bottom w:w="15" w:type="dxa"/>
              <w:right w:w="0" w:type="dxa"/>
            </w:tcMar>
            <w:vAlign w:val="center"/>
          </w:tcPr>
          <w:p w14:paraId="749DA3D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4,761</w:t>
            </w:r>
          </w:p>
        </w:tc>
        <w:tc>
          <w:tcPr>
            <w:tcW w:w="0" w:type="auto"/>
            <w:tcBorders>
              <w:bottom w:val="single" w:sz="6" w:space="0" w:color="D8DDEA"/>
            </w:tcBorders>
            <w:shd w:val="clear" w:color="auto" w:fill="FAFAFA"/>
            <w:tcMar>
              <w:top w:w="15" w:type="dxa"/>
              <w:left w:w="0" w:type="dxa"/>
              <w:bottom w:w="15" w:type="dxa"/>
              <w:right w:w="0" w:type="dxa"/>
            </w:tcMar>
            <w:vAlign w:val="center"/>
          </w:tcPr>
          <w:p w14:paraId="5EA3072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7,543</w:t>
            </w:r>
          </w:p>
        </w:tc>
        <w:tc>
          <w:tcPr>
            <w:tcW w:w="0" w:type="auto"/>
            <w:tcBorders>
              <w:bottom w:val="single" w:sz="6" w:space="0" w:color="D8DDEA"/>
            </w:tcBorders>
            <w:shd w:val="clear" w:color="auto" w:fill="FAFAFA"/>
            <w:tcMar>
              <w:top w:w="15" w:type="dxa"/>
              <w:left w:w="0" w:type="dxa"/>
              <w:bottom w:w="15" w:type="dxa"/>
              <w:right w:w="0" w:type="dxa"/>
            </w:tcMar>
            <w:vAlign w:val="center"/>
          </w:tcPr>
          <w:p w14:paraId="2F566F3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4,832</w:t>
            </w:r>
          </w:p>
        </w:tc>
        <w:tc>
          <w:tcPr>
            <w:tcW w:w="0" w:type="auto"/>
            <w:tcBorders>
              <w:bottom w:val="single" w:sz="6" w:space="0" w:color="D8DDEA"/>
            </w:tcBorders>
            <w:shd w:val="clear" w:color="auto" w:fill="FAFAFA"/>
            <w:tcMar>
              <w:top w:w="15" w:type="dxa"/>
              <w:left w:w="0" w:type="dxa"/>
              <w:bottom w:w="15" w:type="dxa"/>
              <w:right w:w="0" w:type="dxa"/>
            </w:tcMar>
            <w:vAlign w:val="center"/>
          </w:tcPr>
          <w:p w14:paraId="21F530C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59,217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565C103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4E5E47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27B948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2,262</w:t>
            </w:r>
          </w:p>
        </w:tc>
        <w:tc>
          <w:tcPr>
            <w:tcW w:w="0" w:type="auto"/>
            <w:tcBorders>
              <w:bottom w:val="single" w:sz="6" w:space="0" w:color="D8DDEA"/>
            </w:tcBorders>
            <w:shd w:val="clear" w:color="auto" w:fill="FAFAFA"/>
            <w:tcMar>
              <w:top w:w="15" w:type="dxa"/>
              <w:left w:w="0" w:type="dxa"/>
              <w:bottom w:w="15" w:type="dxa"/>
              <w:right w:w="0" w:type="dxa"/>
            </w:tcMar>
            <w:vAlign w:val="center"/>
          </w:tcPr>
          <w:p w14:paraId="79FF032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bl>
    <w:p w14:paraId="1EDD5F20" w14:textId="77777777" w:rsidR="00B16DFE" w:rsidRDefault="009F0859">
      <w:pPr>
        <w:pStyle w:val="Heading2"/>
        <w:spacing w:before="150" w:line="270" w:lineRule="atLeast"/>
        <w:rPr>
          <w:rFonts w:ascii="Arial" w:eastAsia="Arial" w:hAnsi="Arial" w:cs="Arial"/>
          <w:color w:val="333333"/>
          <w:spacing w:val="4"/>
          <w:sz w:val="21"/>
          <w:szCs w:val="21"/>
        </w:rPr>
      </w:pPr>
      <w:bookmarkStart w:id="37" w:name="_Toc38"/>
      <w:r>
        <w:rPr>
          <w:rFonts w:ascii="Arial" w:eastAsia="Arial" w:hAnsi="Arial" w:cs="Arial"/>
          <w:color w:val="333333"/>
          <w:spacing w:val="4"/>
          <w:sz w:val="21"/>
          <w:szCs w:val="21"/>
        </w:rPr>
        <w:t>Annual Change</w:t>
      </w:r>
      <w:bookmarkEnd w:id="37"/>
    </w:p>
    <w:tbl>
      <w:tblPr>
        <w:tblW w:w="0" w:type="auto"/>
        <w:tblCellSpacing w:w="0" w:type="dxa"/>
        <w:tblBorders>
          <w:top w:val="nil"/>
          <w:left w:val="nil"/>
          <w:bottom w:val="nil"/>
          <w:right w:val="nil"/>
          <w:insideH w:val="nil"/>
          <w:insideV w:val="nil"/>
        </w:tblBorders>
        <w:shd w:val="clear" w:color="auto" w:fill="FAFAFA"/>
        <w:tblLook w:val="04A0" w:firstRow="1" w:lastRow="0" w:firstColumn="1" w:lastColumn="0" w:noHBand="0" w:noVBand="1"/>
      </w:tblPr>
      <w:tblGrid>
        <w:gridCol w:w="650"/>
        <w:gridCol w:w="1094"/>
        <w:gridCol w:w="969"/>
        <w:gridCol w:w="1265"/>
        <w:gridCol w:w="1165"/>
        <w:gridCol w:w="1191"/>
        <w:gridCol w:w="1070"/>
        <w:gridCol w:w="1067"/>
        <w:gridCol w:w="1044"/>
        <w:gridCol w:w="1112"/>
      </w:tblGrid>
      <w:tr w:rsidR="00B16DFE" w14:paraId="7EA162E0" w14:textId="77777777">
        <w:trPr>
          <w:tblHeader/>
          <w:tblCellSpacing w:w="0" w:type="dxa"/>
        </w:trPr>
        <w:tc>
          <w:tcPr>
            <w:tcW w:w="810" w:type="dxa"/>
            <w:shd w:val="clear" w:color="auto" w:fill="FAFAFA"/>
            <w:tcMar>
              <w:top w:w="30" w:type="dxa"/>
              <w:left w:w="0" w:type="dxa"/>
              <w:bottom w:w="0" w:type="dxa"/>
              <w:right w:w="0" w:type="dxa"/>
            </w:tcMar>
            <w:vAlign w:val="bottom"/>
          </w:tcPr>
          <w:p w14:paraId="2D971F19"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Year</w:t>
            </w:r>
          </w:p>
        </w:tc>
        <w:tc>
          <w:tcPr>
            <w:tcW w:w="1350" w:type="dxa"/>
            <w:shd w:val="clear" w:color="auto" w:fill="FAFAFA"/>
            <w:tcMar>
              <w:top w:w="30" w:type="dxa"/>
              <w:left w:w="0" w:type="dxa"/>
              <w:bottom w:w="0" w:type="dxa"/>
              <w:right w:w="0" w:type="dxa"/>
            </w:tcMar>
            <w:vAlign w:val="bottom"/>
          </w:tcPr>
          <w:p w14:paraId="1990DF12"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Revenue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65CA78F9"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IVA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238FD495"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Establishments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5FDB0FB9"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Enterprises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71F723DD"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Employment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3127D890"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Exports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60ABC8C7"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Imports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39426A89"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Wages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43FDE75B"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Domestic</w:t>
            </w:r>
            <w:r>
              <w:br/>
            </w:r>
            <w:r>
              <w:rPr>
                <w:rFonts w:ascii="Arial" w:eastAsia="Arial" w:hAnsi="Arial" w:cs="Arial"/>
                <w:b/>
                <w:bCs/>
                <w:sz w:val="15"/>
                <w:szCs w:val="15"/>
              </w:rPr>
              <w:t>Demand (%)</w:t>
            </w:r>
          </w:p>
        </w:tc>
      </w:tr>
      <w:tr w:rsidR="00B16DFE" w14:paraId="63E60DF7" w14:textId="77777777">
        <w:trPr>
          <w:tblCellSpacing w:w="0" w:type="dxa"/>
        </w:trPr>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105B1CE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2011-12</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127037D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14.0</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761BD56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14.4</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24D5B7A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-3.47</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35F2DA7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0.49</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40B47A9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-0.13</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66D0183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583E17F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612AA06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6.23</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3B59177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2B63C231"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0BB29F7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2012-13</w:t>
            </w:r>
          </w:p>
        </w:tc>
        <w:tc>
          <w:tcPr>
            <w:tcW w:w="0" w:type="auto"/>
            <w:tcBorders>
              <w:bottom w:val="single" w:sz="6" w:space="0" w:color="D8DDEA"/>
            </w:tcBorders>
            <w:shd w:val="clear" w:color="auto" w:fill="FAFAFA"/>
            <w:tcMar>
              <w:top w:w="15" w:type="dxa"/>
              <w:left w:w="0" w:type="dxa"/>
              <w:bottom w:w="15" w:type="dxa"/>
              <w:right w:w="0" w:type="dxa"/>
            </w:tcMar>
            <w:vAlign w:val="center"/>
          </w:tcPr>
          <w:p w14:paraId="5E9D415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-2.63</w:t>
            </w:r>
          </w:p>
        </w:tc>
        <w:tc>
          <w:tcPr>
            <w:tcW w:w="0" w:type="auto"/>
            <w:tcBorders>
              <w:bottom w:val="single" w:sz="6" w:space="0" w:color="D8DDEA"/>
            </w:tcBorders>
            <w:shd w:val="clear" w:color="auto" w:fill="FAFAFA"/>
            <w:tcMar>
              <w:top w:w="15" w:type="dxa"/>
              <w:left w:w="0" w:type="dxa"/>
              <w:bottom w:w="15" w:type="dxa"/>
              <w:right w:w="0" w:type="dxa"/>
            </w:tcMar>
            <w:vAlign w:val="center"/>
          </w:tcPr>
          <w:p w14:paraId="51DFC87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-6.90</w:t>
            </w:r>
          </w:p>
        </w:tc>
        <w:tc>
          <w:tcPr>
            <w:tcW w:w="0" w:type="auto"/>
            <w:tcBorders>
              <w:bottom w:val="single" w:sz="6" w:space="0" w:color="D8DDEA"/>
            </w:tcBorders>
            <w:shd w:val="clear" w:color="auto" w:fill="FAFAFA"/>
            <w:tcMar>
              <w:top w:w="15" w:type="dxa"/>
              <w:left w:w="0" w:type="dxa"/>
              <w:bottom w:w="15" w:type="dxa"/>
              <w:right w:w="0" w:type="dxa"/>
            </w:tcMar>
            <w:vAlign w:val="center"/>
          </w:tcPr>
          <w:p w14:paraId="111B849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2.13</w:t>
            </w:r>
          </w:p>
        </w:tc>
        <w:tc>
          <w:tcPr>
            <w:tcW w:w="0" w:type="auto"/>
            <w:tcBorders>
              <w:bottom w:val="single" w:sz="6" w:space="0" w:color="D8DDEA"/>
            </w:tcBorders>
            <w:shd w:val="clear" w:color="auto" w:fill="FAFAFA"/>
            <w:tcMar>
              <w:top w:w="15" w:type="dxa"/>
              <w:left w:w="0" w:type="dxa"/>
              <w:bottom w:w="15" w:type="dxa"/>
              <w:right w:w="0" w:type="dxa"/>
            </w:tcMar>
            <w:vAlign w:val="center"/>
          </w:tcPr>
          <w:p w14:paraId="67BA16C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-1.38</w:t>
            </w:r>
          </w:p>
        </w:tc>
        <w:tc>
          <w:tcPr>
            <w:tcW w:w="0" w:type="auto"/>
            <w:tcBorders>
              <w:bottom w:val="single" w:sz="6" w:space="0" w:color="D8DDEA"/>
            </w:tcBorders>
            <w:shd w:val="clear" w:color="auto" w:fill="FAFAFA"/>
            <w:tcMar>
              <w:top w:w="15" w:type="dxa"/>
              <w:left w:w="0" w:type="dxa"/>
              <w:bottom w:w="15" w:type="dxa"/>
              <w:right w:w="0" w:type="dxa"/>
            </w:tcMar>
            <w:vAlign w:val="center"/>
          </w:tcPr>
          <w:p w14:paraId="6909AC0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-3.47</w:t>
            </w:r>
          </w:p>
        </w:tc>
        <w:tc>
          <w:tcPr>
            <w:tcW w:w="0" w:type="auto"/>
            <w:tcBorders>
              <w:bottom w:val="single" w:sz="6" w:space="0" w:color="D8DDEA"/>
            </w:tcBorders>
            <w:shd w:val="clear" w:color="auto" w:fill="FAFAFA"/>
            <w:tcMar>
              <w:top w:w="15" w:type="dxa"/>
              <w:left w:w="0" w:type="dxa"/>
              <w:bottom w:w="15" w:type="dxa"/>
              <w:right w:w="0" w:type="dxa"/>
            </w:tcMar>
            <w:vAlign w:val="center"/>
          </w:tcPr>
          <w:p w14:paraId="3319AEE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B56F73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257782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00AA96B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7C9FD9FE"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2D1DACF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2013-14</w:t>
            </w:r>
          </w:p>
        </w:tc>
        <w:tc>
          <w:tcPr>
            <w:tcW w:w="0" w:type="auto"/>
            <w:tcBorders>
              <w:bottom w:val="single" w:sz="6" w:space="0" w:color="D8DDEA"/>
            </w:tcBorders>
            <w:shd w:val="clear" w:color="auto" w:fill="FAFAFA"/>
            <w:tcMar>
              <w:top w:w="15" w:type="dxa"/>
              <w:left w:w="0" w:type="dxa"/>
              <w:bottom w:w="15" w:type="dxa"/>
              <w:right w:w="0" w:type="dxa"/>
            </w:tcMar>
            <w:vAlign w:val="center"/>
          </w:tcPr>
          <w:p w14:paraId="66824D6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0.11</w:t>
            </w:r>
          </w:p>
        </w:tc>
        <w:tc>
          <w:tcPr>
            <w:tcW w:w="0" w:type="auto"/>
            <w:tcBorders>
              <w:bottom w:val="single" w:sz="6" w:space="0" w:color="D8DDEA"/>
            </w:tcBorders>
            <w:shd w:val="clear" w:color="auto" w:fill="FAFAFA"/>
            <w:tcMar>
              <w:top w:w="15" w:type="dxa"/>
              <w:left w:w="0" w:type="dxa"/>
              <w:bottom w:w="15" w:type="dxa"/>
              <w:right w:w="0" w:type="dxa"/>
            </w:tcMar>
            <w:vAlign w:val="center"/>
          </w:tcPr>
          <w:p w14:paraId="2FE112D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5.25</w:t>
            </w:r>
          </w:p>
        </w:tc>
        <w:tc>
          <w:tcPr>
            <w:tcW w:w="0" w:type="auto"/>
            <w:tcBorders>
              <w:bottom w:val="single" w:sz="6" w:space="0" w:color="D8DDEA"/>
            </w:tcBorders>
            <w:shd w:val="clear" w:color="auto" w:fill="FAFAFA"/>
            <w:tcMar>
              <w:top w:w="15" w:type="dxa"/>
              <w:left w:w="0" w:type="dxa"/>
              <w:bottom w:w="15" w:type="dxa"/>
              <w:right w:w="0" w:type="dxa"/>
            </w:tcMar>
            <w:vAlign w:val="center"/>
          </w:tcPr>
          <w:p w14:paraId="689BD7B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-2.86</w:t>
            </w:r>
          </w:p>
        </w:tc>
        <w:tc>
          <w:tcPr>
            <w:tcW w:w="0" w:type="auto"/>
            <w:tcBorders>
              <w:bottom w:val="single" w:sz="6" w:space="0" w:color="D8DDEA"/>
            </w:tcBorders>
            <w:shd w:val="clear" w:color="auto" w:fill="FAFAFA"/>
            <w:tcMar>
              <w:top w:w="15" w:type="dxa"/>
              <w:left w:w="0" w:type="dxa"/>
              <w:bottom w:w="15" w:type="dxa"/>
              <w:right w:w="0" w:type="dxa"/>
            </w:tcMar>
            <w:vAlign w:val="center"/>
          </w:tcPr>
          <w:p w14:paraId="3DAF174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3.45</w:t>
            </w:r>
          </w:p>
        </w:tc>
        <w:tc>
          <w:tcPr>
            <w:tcW w:w="0" w:type="auto"/>
            <w:tcBorders>
              <w:bottom w:val="single" w:sz="6" w:space="0" w:color="D8DDEA"/>
            </w:tcBorders>
            <w:shd w:val="clear" w:color="auto" w:fill="FAFAFA"/>
            <w:tcMar>
              <w:top w:w="15" w:type="dxa"/>
              <w:left w:w="0" w:type="dxa"/>
              <w:bottom w:w="15" w:type="dxa"/>
              <w:right w:w="0" w:type="dxa"/>
            </w:tcMar>
            <w:vAlign w:val="center"/>
          </w:tcPr>
          <w:p w14:paraId="011D583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-1.44</w:t>
            </w:r>
          </w:p>
        </w:tc>
        <w:tc>
          <w:tcPr>
            <w:tcW w:w="0" w:type="auto"/>
            <w:tcBorders>
              <w:bottom w:val="single" w:sz="6" w:space="0" w:color="D8DDEA"/>
            </w:tcBorders>
            <w:shd w:val="clear" w:color="auto" w:fill="FAFAFA"/>
            <w:tcMar>
              <w:top w:w="15" w:type="dxa"/>
              <w:left w:w="0" w:type="dxa"/>
              <w:bottom w:w="15" w:type="dxa"/>
              <w:right w:w="0" w:type="dxa"/>
            </w:tcMar>
            <w:vAlign w:val="center"/>
          </w:tcPr>
          <w:p w14:paraId="5DCED44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2B2A9D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B2B9B8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-1.37</w:t>
            </w:r>
          </w:p>
        </w:tc>
        <w:tc>
          <w:tcPr>
            <w:tcW w:w="0" w:type="auto"/>
            <w:tcBorders>
              <w:bottom w:val="single" w:sz="6" w:space="0" w:color="D8DDEA"/>
            </w:tcBorders>
            <w:shd w:val="clear" w:color="auto" w:fill="FAFAFA"/>
            <w:tcMar>
              <w:top w:w="15" w:type="dxa"/>
              <w:left w:w="0" w:type="dxa"/>
              <w:bottom w:w="15" w:type="dxa"/>
              <w:right w:w="0" w:type="dxa"/>
            </w:tcMar>
            <w:vAlign w:val="center"/>
          </w:tcPr>
          <w:p w14:paraId="52FADA9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1A6D3FDF"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1B7AE60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2014-15</w:t>
            </w:r>
          </w:p>
        </w:tc>
        <w:tc>
          <w:tcPr>
            <w:tcW w:w="0" w:type="auto"/>
            <w:tcBorders>
              <w:bottom w:val="single" w:sz="6" w:space="0" w:color="D8DDEA"/>
            </w:tcBorders>
            <w:shd w:val="clear" w:color="auto" w:fill="FAFAFA"/>
            <w:tcMar>
              <w:top w:w="15" w:type="dxa"/>
              <w:left w:w="0" w:type="dxa"/>
              <w:bottom w:w="15" w:type="dxa"/>
              <w:right w:w="0" w:type="dxa"/>
            </w:tcMar>
            <w:vAlign w:val="center"/>
          </w:tcPr>
          <w:p w14:paraId="54D66A3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4.04</w:t>
            </w:r>
          </w:p>
        </w:tc>
        <w:tc>
          <w:tcPr>
            <w:tcW w:w="0" w:type="auto"/>
            <w:tcBorders>
              <w:bottom w:val="single" w:sz="6" w:space="0" w:color="D8DDEA"/>
            </w:tcBorders>
            <w:shd w:val="clear" w:color="auto" w:fill="FAFAFA"/>
            <w:tcMar>
              <w:top w:w="15" w:type="dxa"/>
              <w:left w:w="0" w:type="dxa"/>
              <w:bottom w:w="15" w:type="dxa"/>
              <w:right w:w="0" w:type="dxa"/>
            </w:tcMar>
            <w:vAlign w:val="center"/>
          </w:tcPr>
          <w:p w14:paraId="40B670A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0.91</w:t>
            </w:r>
          </w:p>
        </w:tc>
        <w:tc>
          <w:tcPr>
            <w:tcW w:w="0" w:type="auto"/>
            <w:tcBorders>
              <w:bottom w:val="single" w:sz="6" w:space="0" w:color="D8DDEA"/>
            </w:tcBorders>
            <w:shd w:val="clear" w:color="auto" w:fill="FAFAFA"/>
            <w:tcMar>
              <w:top w:w="15" w:type="dxa"/>
              <w:left w:w="0" w:type="dxa"/>
              <w:bottom w:w="15" w:type="dxa"/>
              <w:right w:w="0" w:type="dxa"/>
            </w:tcMar>
            <w:vAlign w:val="center"/>
          </w:tcPr>
          <w:p w14:paraId="320C0C2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-1.93</w:t>
            </w:r>
          </w:p>
        </w:tc>
        <w:tc>
          <w:tcPr>
            <w:tcW w:w="0" w:type="auto"/>
            <w:tcBorders>
              <w:bottom w:val="single" w:sz="6" w:space="0" w:color="D8DDEA"/>
            </w:tcBorders>
            <w:shd w:val="clear" w:color="auto" w:fill="FAFAFA"/>
            <w:tcMar>
              <w:top w:w="15" w:type="dxa"/>
              <w:left w:w="0" w:type="dxa"/>
              <w:bottom w:w="15" w:type="dxa"/>
              <w:right w:w="0" w:type="dxa"/>
            </w:tcMar>
            <w:vAlign w:val="center"/>
          </w:tcPr>
          <w:p w14:paraId="133C414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3.69</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A1820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-4.67</w:t>
            </w:r>
          </w:p>
        </w:tc>
        <w:tc>
          <w:tcPr>
            <w:tcW w:w="0" w:type="auto"/>
            <w:tcBorders>
              <w:bottom w:val="single" w:sz="6" w:space="0" w:color="D8DDEA"/>
            </w:tcBorders>
            <w:shd w:val="clear" w:color="auto" w:fill="FAFAFA"/>
            <w:tcMar>
              <w:top w:w="15" w:type="dxa"/>
              <w:left w:w="0" w:type="dxa"/>
              <w:bottom w:w="15" w:type="dxa"/>
              <w:right w:w="0" w:type="dxa"/>
            </w:tcMar>
            <w:vAlign w:val="center"/>
          </w:tcPr>
          <w:p w14:paraId="1406580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26CE12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607A89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-3.20</w:t>
            </w:r>
          </w:p>
        </w:tc>
        <w:tc>
          <w:tcPr>
            <w:tcW w:w="0" w:type="auto"/>
            <w:tcBorders>
              <w:bottom w:val="single" w:sz="6" w:space="0" w:color="D8DDEA"/>
            </w:tcBorders>
            <w:shd w:val="clear" w:color="auto" w:fill="FAFAFA"/>
            <w:tcMar>
              <w:top w:w="15" w:type="dxa"/>
              <w:left w:w="0" w:type="dxa"/>
              <w:bottom w:w="15" w:type="dxa"/>
              <w:right w:w="0" w:type="dxa"/>
            </w:tcMar>
            <w:vAlign w:val="center"/>
          </w:tcPr>
          <w:p w14:paraId="5EDB342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11B4B22B"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6C38173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2015-16</w:t>
            </w:r>
          </w:p>
        </w:tc>
        <w:tc>
          <w:tcPr>
            <w:tcW w:w="0" w:type="auto"/>
            <w:tcBorders>
              <w:bottom w:val="single" w:sz="6" w:space="0" w:color="D8DDEA"/>
            </w:tcBorders>
            <w:shd w:val="clear" w:color="auto" w:fill="FAFAFA"/>
            <w:tcMar>
              <w:top w:w="15" w:type="dxa"/>
              <w:left w:w="0" w:type="dxa"/>
              <w:bottom w:w="15" w:type="dxa"/>
              <w:right w:w="0" w:type="dxa"/>
            </w:tcMar>
            <w:vAlign w:val="center"/>
          </w:tcPr>
          <w:p w14:paraId="3EDF849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3.10</w:t>
            </w:r>
          </w:p>
        </w:tc>
        <w:tc>
          <w:tcPr>
            <w:tcW w:w="0" w:type="auto"/>
            <w:tcBorders>
              <w:bottom w:val="single" w:sz="6" w:space="0" w:color="D8DDEA"/>
            </w:tcBorders>
            <w:shd w:val="clear" w:color="auto" w:fill="FAFAFA"/>
            <w:tcMar>
              <w:top w:w="15" w:type="dxa"/>
              <w:left w:w="0" w:type="dxa"/>
              <w:bottom w:w="15" w:type="dxa"/>
              <w:right w:w="0" w:type="dxa"/>
            </w:tcMar>
            <w:vAlign w:val="center"/>
          </w:tcPr>
          <w:p w14:paraId="1FEDF55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8.11</w:t>
            </w:r>
          </w:p>
        </w:tc>
        <w:tc>
          <w:tcPr>
            <w:tcW w:w="0" w:type="auto"/>
            <w:tcBorders>
              <w:bottom w:val="single" w:sz="6" w:space="0" w:color="D8DDEA"/>
            </w:tcBorders>
            <w:shd w:val="clear" w:color="auto" w:fill="FAFAFA"/>
            <w:tcMar>
              <w:top w:w="15" w:type="dxa"/>
              <w:left w:w="0" w:type="dxa"/>
              <w:bottom w:w="15" w:type="dxa"/>
              <w:right w:w="0" w:type="dxa"/>
            </w:tcMar>
            <w:vAlign w:val="center"/>
          </w:tcPr>
          <w:p w14:paraId="06E8C5D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3.63</w:t>
            </w:r>
          </w:p>
        </w:tc>
        <w:tc>
          <w:tcPr>
            <w:tcW w:w="0" w:type="auto"/>
            <w:tcBorders>
              <w:bottom w:val="single" w:sz="6" w:space="0" w:color="D8DDEA"/>
            </w:tcBorders>
            <w:shd w:val="clear" w:color="auto" w:fill="FAFAFA"/>
            <w:tcMar>
              <w:top w:w="15" w:type="dxa"/>
              <w:left w:w="0" w:type="dxa"/>
              <w:bottom w:w="15" w:type="dxa"/>
              <w:right w:w="0" w:type="dxa"/>
            </w:tcMar>
            <w:vAlign w:val="center"/>
          </w:tcPr>
          <w:p w14:paraId="2AFAC9C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8.45</w:t>
            </w:r>
          </w:p>
        </w:tc>
        <w:tc>
          <w:tcPr>
            <w:tcW w:w="0" w:type="auto"/>
            <w:tcBorders>
              <w:bottom w:val="single" w:sz="6" w:space="0" w:color="D8DDEA"/>
            </w:tcBorders>
            <w:shd w:val="clear" w:color="auto" w:fill="FAFAFA"/>
            <w:tcMar>
              <w:top w:w="15" w:type="dxa"/>
              <w:left w:w="0" w:type="dxa"/>
              <w:bottom w:w="15" w:type="dxa"/>
              <w:right w:w="0" w:type="dxa"/>
            </w:tcMar>
            <w:vAlign w:val="center"/>
          </w:tcPr>
          <w:p w14:paraId="721AEC9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2.74</w:t>
            </w:r>
          </w:p>
        </w:tc>
        <w:tc>
          <w:tcPr>
            <w:tcW w:w="0" w:type="auto"/>
            <w:tcBorders>
              <w:bottom w:val="single" w:sz="6" w:space="0" w:color="D8DDEA"/>
            </w:tcBorders>
            <w:shd w:val="clear" w:color="auto" w:fill="FAFAFA"/>
            <w:tcMar>
              <w:top w:w="15" w:type="dxa"/>
              <w:left w:w="0" w:type="dxa"/>
              <w:bottom w:w="15" w:type="dxa"/>
              <w:right w:w="0" w:type="dxa"/>
            </w:tcMar>
            <w:vAlign w:val="center"/>
          </w:tcPr>
          <w:p w14:paraId="0DF36A4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4E3FC36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F395D4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6.87</w:t>
            </w:r>
          </w:p>
        </w:tc>
        <w:tc>
          <w:tcPr>
            <w:tcW w:w="0" w:type="auto"/>
            <w:tcBorders>
              <w:bottom w:val="single" w:sz="6" w:space="0" w:color="D8DDEA"/>
            </w:tcBorders>
            <w:shd w:val="clear" w:color="auto" w:fill="FAFAFA"/>
            <w:tcMar>
              <w:top w:w="15" w:type="dxa"/>
              <w:left w:w="0" w:type="dxa"/>
              <w:bottom w:w="15" w:type="dxa"/>
              <w:right w:w="0" w:type="dxa"/>
            </w:tcMar>
            <w:vAlign w:val="center"/>
          </w:tcPr>
          <w:p w14:paraId="56BC527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720214B5"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C23D6A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2016-17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65EF16B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2.51</w:t>
            </w:r>
          </w:p>
        </w:tc>
        <w:tc>
          <w:tcPr>
            <w:tcW w:w="0" w:type="auto"/>
            <w:tcBorders>
              <w:bottom w:val="single" w:sz="6" w:space="0" w:color="D8DDEA"/>
            </w:tcBorders>
            <w:shd w:val="clear" w:color="auto" w:fill="FAFAFA"/>
            <w:tcMar>
              <w:top w:w="15" w:type="dxa"/>
              <w:left w:w="0" w:type="dxa"/>
              <w:bottom w:w="15" w:type="dxa"/>
              <w:right w:w="0" w:type="dxa"/>
            </w:tcMar>
            <w:vAlign w:val="center"/>
          </w:tcPr>
          <w:p w14:paraId="2046637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5.66</w:t>
            </w:r>
          </w:p>
        </w:tc>
        <w:tc>
          <w:tcPr>
            <w:tcW w:w="0" w:type="auto"/>
            <w:tcBorders>
              <w:bottom w:val="single" w:sz="6" w:space="0" w:color="D8DDEA"/>
            </w:tcBorders>
            <w:shd w:val="clear" w:color="auto" w:fill="FAFAFA"/>
            <w:tcMar>
              <w:top w:w="15" w:type="dxa"/>
              <w:left w:w="0" w:type="dxa"/>
              <w:bottom w:w="15" w:type="dxa"/>
              <w:right w:w="0" w:type="dxa"/>
            </w:tcMar>
            <w:vAlign w:val="center"/>
          </w:tcPr>
          <w:p w14:paraId="4762739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2.44</w:t>
            </w:r>
          </w:p>
        </w:tc>
        <w:tc>
          <w:tcPr>
            <w:tcW w:w="0" w:type="auto"/>
            <w:tcBorders>
              <w:bottom w:val="single" w:sz="6" w:space="0" w:color="D8DDEA"/>
            </w:tcBorders>
            <w:shd w:val="clear" w:color="auto" w:fill="FAFAFA"/>
            <w:tcMar>
              <w:top w:w="15" w:type="dxa"/>
              <w:left w:w="0" w:type="dxa"/>
              <w:bottom w:w="15" w:type="dxa"/>
              <w:right w:w="0" w:type="dxa"/>
            </w:tcMar>
            <w:vAlign w:val="center"/>
          </w:tcPr>
          <w:p w14:paraId="26F8696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6.25</w:t>
            </w:r>
          </w:p>
        </w:tc>
        <w:tc>
          <w:tcPr>
            <w:tcW w:w="0" w:type="auto"/>
            <w:tcBorders>
              <w:bottom w:val="single" w:sz="6" w:space="0" w:color="D8DDEA"/>
            </w:tcBorders>
            <w:shd w:val="clear" w:color="auto" w:fill="FAFAFA"/>
            <w:tcMar>
              <w:top w:w="15" w:type="dxa"/>
              <w:left w:w="0" w:type="dxa"/>
              <w:bottom w:w="15" w:type="dxa"/>
              <w:right w:w="0" w:type="dxa"/>
            </w:tcMar>
            <w:vAlign w:val="center"/>
          </w:tcPr>
          <w:p w14:paraId="22EF70B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0.68</w:t>
            </w:r>
          </w:p>
        </w:tc>
        <w:tc>
          <w:tcPr>
            <w:tcW w:w="0" w:type="auto"/>
            <w:tcBorders>
              <w:bottom w:val="single" w:sz="6" w:space="0" w:color="D8DDEA"/>
            </w:tcBorders>
            <w:shd w:val="clear" w:color="auto" w:fill="FAFAFA"/>
            <w:tcMar>
              <w:top w:w="15" w:type="dxa"/>
              <w:left w:w="0" w:type="dxa"/>
              <w:bottom w:w="15" w:type="dxa"/>
              <w:right w:w="0" w:type="dxa"/>
            </w:tcMar>
            <w:vAlign w:val="center"/>
          </w:tcPr>
          <w:p w14:paraId="56C3614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0781AB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AA4C4B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2.66</w:t>
            </w:r>
          </w:p>
        </w:tc>
        <w:tc>
          <w:tcPr>
            <w:tcW w:w="0" w:type="auto"/>
            <w:tcBorders>
              <w:bottom w:val="single" w:sz="6" w:space="0" w:color="D8DDEA"/>
            </w:tcBorders>
            <w:shd w:val="clear" w:color="auto" w:fill="FAFAFA"/>
            <w:tcMar>
              <w:top w:w="15" w:type="dxa"/>
              <w:left w:w="0" w:type="dxa"/>
              <w:bottom w:w="15" w:type="dxa"/>
              <w:right w:w="0" w:type="dxa"/>
            </w:tcMar>
            <w:vAlign w:val="center"/>
          </w:tcPr>
          <w:p w14:paraId="5E1BF7E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44195B62"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4E1620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2017-18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6579C31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7.74</w:t>
            </w:r>
          </w:p>
        </w:tc>
        <w:tc>
          <w:tcPr>
            <w:tcW w:w="0" w:type="auto"/>
            <w:tcBorders>
              <w:bottom w:val="single" w:sz="6" w:space="0" w:color="D8DDEA"/>
            </w:tcBorders>
            <w:shd w:val="clear" w:color="auto" w:fill="FAFAFA"/>
            <w:tcMar>
              <w:top w:w="15" w:type="dxa"/>
              <w:left w:w="0" w:type="dxa"/>
              <w:bottom w:w="15" w:type="dxa"/>
              <w:right w:w="0" w:type="dxa"/>
            </w:tcMar>
            <w:vAlign w:val="center"/>
          </w:tcPr>
          <w:p w14:paraId="0B3F07F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3.25</w:t>
            </w:r>
          </w:p>
        </w:tc>
        <w:tc>
          <w:tcPr>
            <w:tcW w:w="0" w:type="auto"/>
            <w:tcBorders>
              <w:bottom w:val="single" w:sz="6" w:space="0" w:color="D8DDEA"/>
            </w:tcBorders>
            <w:shd w:val="clear" w:color="auto" w:fill="FAFAFA"/>
            <w:tcMar>
              <w:top w:w="15" w:type="dxa"/>
              <w:left w:w="0" w:type="dxa"/>
              <w:bottom w:w="15" w:type="dxa"/>
              <w:right w:w="0" w:type="dxa"/>
            </w:tcMar>
            <w:vAlign w:val="center"/>
          </w:tcPr>
          <w:p w14:paraId="0C20DC0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-3.37</w:t>
            </w:r>
          </w:p>
        </w:tc>
        <w:tc>
          <w:tcPr>
            <w:tcW w:w="0" w:type="auto"/>
            <w:tcBorders>
              <w:bottom w:val="single" w:sz="6" w:space="0" w:color="D8DDEA"/>
            </w:tcBorders>
            <w:shd w:val="clear" w:color="auto" w:fill="FAFAFA"/>
            <w:tcMar>
              <w:top w:w="15" w:type="dxa"/>
              <w:left w:w="0" w:type="dxa"/>
              <w:bottom w:w="15" w:type="dxa"/>
              <w:right w:w="0" w:type="dxa"/>
            </w:tcMar>
            <w:vAlign w:val="center"/>
          </w:tcPr>
          <w:p w14:paraId="63A4ED5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-2.67</w:t>
            </w:r>
          </w:p>
        </w:tc>
        <w:tc>
          <w:tcPr>
            <w:tcW w:w="0" w:type="auto"/>
            <w:tcBorders>
              <w:bottom w:val="single" w:sz="6" w:space="0" w:color="D8DDEA"/>
            </w:tcBorders>
            <w:shd w:val="clear" w:color="auto" w:fill="FAFAFA"/>
            <w:tcMar>
              <w:top w:w="15" w:type="dxa"/>
              <w:left w:w="0" w:type="dxa"/>
              <w:bottom w:w="15" w:type="dxa"/>
              <w:right w:w="0" w:type="dxa"/>
            </w:tcMar>
            <w:vAlign w:val="center"/>
          </w:tcPr>
          <w:p w14:paraId="4931769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2.20</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A09A1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1432BA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8EEAFB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1.71</w:t>
            </w:r>
          </w:p>
        </w:tc>
        <w:tc>
          <w:tcPr>
            <w:tcW w:w="0" w:type="auto"/>
            <w:tcBorders>
              <w:bottom w:val="single" w:sz="6" w:space="0" w:color="D8DDEA"/>
            </w:tcBorders>
            <w:shd w:val="clear" w:color="auto" w:fill="FAFAFA"/>
            <w:tcMar>
              <w:top w:w="15" w:type="dxa"/>
              <w:left w:w="0" w:type="dxa"/>
              <w:bottom w:w="15" w:type="dxa"/>
              <w:right w:w="0" w:type="dxa"/>
            </w:tcMar>
            <w:vAlign w:val="center"/>
          </w:tcPr>
          <w:p w14:paraId="37D6BCE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3BC2894E"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1BD38F4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2018-19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1E2D488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0.06</w:t>
            </w:r>
          </w:p>
        </w:tc>
        <w:tc>
          <w:tcPr>
            <w:tcW w:w="0" w:type="auto"/>
            <w:tcBorders>
              <w:bottom w:val="single" w:sz="6" w:space="0" w:color="D8DDEA"/>
            </w:tcBorders>
            <w:shd w:val="clear" w:color="auto" w:fill="FAFAFA"/>
            <w:tcMar>
              <w:top w:w="15" w:type="dxa"/>
              <w:left w:w="0" w:type="dxa"/>
              <w:bottom w:w="15" w:type="dxa"/>
              <w:right w:w="0" w:type="dxa"/>
            </w:tcMar>
            <w:vAlign w:val="center"/>
          </w:tcPr>
          <w:p w14:paraId="4A4333E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-7.16</w:t>
            </w:r>
          </w:p>
        </w:tc>
        <w:tc>
          <w:tcPr>
            <w:tcW w:w="0" w:type="auto"/>
            <w:tcBorders>
              <w:bottom w:val="single" w:sz="6" w:space="0" w:color="D8DDEA"/>
            </w:tcBorders>
            <w:shd w:val="clear" w:color="auto" w:fill="FAFAFA"/>
            <w:tcMar>
              <w:top w:w="15" w:type="dxa"/>
              <w:left w:w="0" w:type="dxa"/>
              <w:bottom w:w="15" w:type="dxa"/>
              <w:right w:w="0" w:type="dxa"/>
            </w:tcMar>
            <w:vAlign w:val="center"/>
          </w:tcPr>
          <w:p w14:paraId="0F2C451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1.98</w:t>
            </w:r>
          </w:p>
        </w:tc>
        <w:tc>
          <w:tcPr>
            <w:tcW w:w="0" w:type="auto"/>
            <w:tcBorders>
              <w:bottom w:val="single" w:sz="6" w:space="0" w:color="D8DDEA"/>
            </w:tcBorders>
            <w:shd w:val="clear" w:color="auto" w:fill="FAFAFA"/>
            <w:tcMar>
              <w:top w:w="15" w:type="dxa"/>
              <w:left w:w="0" w:type="dxa"/>
              <w:bottom w:w="15" w:type="dxa"/>
              <w:right w:w="0" w:type="dxa"/>
            </w:tcMar>
            <w:vAlign w:val="center"/>
          </w:tcPr>
          <w:p w14:paraId="306296E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51452F0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2.69</w:t>
            </w:r>
          </w:p>
        </w:tc>
        <w:tc>
          <w:tcPr>
            <w:tcW w:w="0" w:type="auto"/>
            <w:tcBorders>
              <w:bottom w:val="single" w:sz="6" w:space="0" w:color="D8DDEA"/>
            </w:tcBorders>
            <w:shd w:val="clear" w:color="auto" w:fill="FAFAFA"/>
            <w:tcMar>
              <w:top w:w="15" w:type="dxa"/>
              <w:left w:w="0" w:type="dxa"/>
              <w:bottom w:w="15" w:type="dxa"/>
              <w:right w:w="0" w:type="dxa"/>
            </w:tcMar>
            <w:vAlign w:val="center"/>
          </w:tcPr>
          <w:p w14:paraId="662A286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A5E250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8C0782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0.35</w:t>
            </w:r>
          </w:p>
        </w:tc>
        <w:tc>
          <w:tcPr>
            <w:tcW w:w="0" w:type="auto"/>
            <w:tcBorders>
              <w:bottom w:val="single" w:sz="6" w:space="0" w:color="D8DDEA"/>
            </w:tcBorders>
            <w:shd w:val="clear" w:color="auto" w:fill="FAFAFA"/>
            <w:tcMar>
              <w:top w:w="15" w:type="dxa"/>
              <w:left w:w="0" w:type="dxa"/>
              <w:bottom w:w="15" w:type="dxa"/>
              <w:right w:w="0" w:type="dxa"/>
            </w:tcMar>
            <w:vAlign w:val="center"/>
          </w:tcPr>
          <w:p w14:paraId="5ACE69E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5F15FE41"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311A57D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2019-20</w:t>
            </w:r>
          </w:p>
        </w:tc>
        <w:tc>
          <w:tcPr>
            <w:tcW w:w="0" w:type="auto"/>
            <w:tcBorders>
              <w:bottom w:val="single" w:sz="6" w:space="0" w:color="D8DDEA"/>
            </w:tcBorders>
            <w:shd w:val="clear" w:color="auto" w:fill="FAFAFA"/>
            <w:tcMar>
              <w:top w:w="15" w:type="dxa"/>
              <w:left w:w="0" w:type="dxa"/>
              <w:bottom w:w="15" w:type="dxa"/>
              <w:right w:w="0" w:type="dxa"/>
            </w:tcMar>
            <w:vAlign w:val="center"/>
          </w:tcPr>
          <w:p w14:paraId="5AA9B40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-1.49</w:t>
            </w:r>
          </w:p>
        </w:tc>
        <w:tc>
          <w:tcPr>
            <w:tcW w:w="0" w:type="auto"/>
            <w:tcBorders>
              <w:bottom w:val="single" w:sz="6" w:space="0" w:color="D8DDEA"/>
            </w:tcBorders>
            <w:shd w:val="clear" w:color="auto" w:fill="FAFAFA"/>
            <w:tcMar>
              <w:top w:w="15" w:type="dxa"/>
              <w:left w:w="0" w:type="dxa"/>
              <w:bottom w:w="15" w:type="dxa"/>
              <w:right w:w="0" w:type="dxa"/>
            </w:tcMar>
            <w:vAlign w:val="center"/>
          </w:tcPr>
          <w:p w14:paraId="3B6BEB8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-4.92</w:t>
            </w:r>
          </w:p>
        </w:tc>
        <w:tc>
          <w:tcPr>
            <w:tcW w:w="0" w:type="auto"/>
            <w:tcBorders>
              <w:bottom w:val="single" w:sz="6" w:space="0" w:color="D8DDEA"/>
            </w:tcBorders>
            <w:shd w:val="clear" w:color="auto" w:fill="FAFAFA"/>
            <w:tcMar>
              <w:top w:w="15" w:type="dxa"/>
              <w:left w:w="0" w:type="dxa"/>
              <w:bottom w:w="15" w:type="dxa"/>
              <w:right w:w="0" w:type="dxa"/>
            </w:tcMar>
            <w:vAlign w:val="center"/>
          </w:tcPr>
          <w:p w14:paraId="3637470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0.44</w:t>
            </w:r>
          </w:p>
        </w:tc>
        <w:tc>
          <w:tcPr>
            <w:tcW w:w="0" w:type="auto"/>
            <w:tcBorders>
              <w:bottom w:val="single" w:sz="6" w:space="0" w:color="D8DDEA"/>
            </w:tcBorders>
            <w:shd w:val="clear" w:color="auto" w:fill="FAFAFA"/>
            <w:tcMar>
              <w:top w:w="15" w:type="dxa"/>
              <w:left w:w="0" w:type="dxa"/>
              <w:bottom w:w="15" w:type="dxa"/>
              <w:right w:w="0" w:type="dxa"/>
            </w:tcMar>
            <w:vAlign w:val="center"/>
          </w:tcPr>
          <w:p w14:paraId="01ABA43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-0.50</w:t>
            </w:r>
          </w:p>
        </w:tc>
        <w:tc>
          <w:tcPr>
            <w:tcW w:w="0" w:type="auto"/>
            <w:tcBorders>
              <w:bottom w:val="single" w:sz="6" w:space="0" w:color="D8DDEA"/>
            </w:tcBorders>
            <w:shd w:val="clear" w:color="auto" w:fill="FAFAFA"/>
            <w:tcMar>
              <w:top w:w="15" w:type="dxa"/>
              <w:left w:w="0" w:type="dxa"/>
              <w:bottom w:w="15" w:type="dxa"/>
              <w:right w:w="0" w:type="dxa"/>
            </w:tcMar>
            <w:vAlign w:val="center"/>
          </w:tcPr>
          <w:p w14:paraId="30C89ED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-1.10</w:t>
            </w:r>
          </w:p>
        </w:tc>
        <w:tc>
          <w:tcPr>
            <w:tcW w:w="0" w:type="auto"/>
            <w:tcBorders>
              <w:bottom w:val="single" w:sz="6" w:space="0" w:color="D8DDEA"/>
            </w:tcBorders>
            <w:shd w:val="clear" w:color="auto" w:fill="FAFAFA"/>
            <w:tcMar>
              <w:top w:w="15" w:type="dxa"/>
              <w:left w:w="0" w:type="dxa"/>
              <w:bottom w:w="15" w:type="dxa"/>
              <w:right w:w="0" w:type="dxa"/>
            </w:tcMar>
            <w:vAlign w:val="center"/>
          </w:tcPr>
          <w:p w14:paraId="1B81659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4E22012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94209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-2.07</w:t>
            </w:r>
          </w:p>
        </w:tc>
        <w:tc>
          <w:tcPr>
            <w:tcW w:w="0" w:type="auto"/>
            <w:tcBorders>
              <w:bottom w:val="single" w:sz="6" w:space="0" w:color="D8DDEA"/>
            </w:tcBorders>
            <w:shd w:val="clear" w:color="auto" w:fill="FAFAFA"/>
            <w:tcMar>
              <w:top w:w="15" w:type="dxa"/>
              <w:left w:w="0" w:type="dxa"/>
              <w:bottom w:w="15" w:type="dxa"/>
              <w:right w:w="0" w:type="dxa"/>
            </w:tcMar>
            <w:vAlign w:val="center"/>
          </w:tcPr>
          <w:p w14:paraId="12B2593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615F8A9D" w14:textId="77777777">
        <w:trPr>
          <w:tblCellSpacing w:w="0" w:type="dxa"/>
        </w:trPr>
        <w:tc>
          <w:tcPr>
            <w:tcW w:w="0" w:type="auto"/>
            <w:tcBorders>
              <w:bottom w:val="single" w:sz="6" w:space="0" w:color="D8DDEA"/>
            </w:tcBorders>
            <w:shd w:val="clear" w:color="auto" w:fill="D8DDEA"/>
            <w:tcMar>
              <w:top w:w="15" w:type="dxa"/>
              <w:left w:w="0" w:type="dxa"/>
              <w:bottom w:w="15" w:type="dxa"/>
              <w:right w:w="0" w:type="dxa"/>
            </w:tcMar>
            <w:vAlign w:val="center"/>
          </w:tcPr>
          <w:p w14:paraId="69C7EAF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2020-21</w:t>
            </w:r>
          </w:p>
        </w:tc>
        <w:tc>
          <w:tcPr>
            <w:tcW w:w="0" w:type="auto"/>
            <w:tcBorders>
              <w:bottom w:val="single" w:sz="6" w:space="0" w:color="D8DDEA"/>
            </w:tcBorders>
            <w:shd w:val="clear" w:color="auto" w:fill="D8DDEA"/>
            <w:tcMar>
              <w:top w:w="15" w:type="dxa"/>
              <w:left w:w="0" w:type="dxa"/>
              <w:bottom w:w="15" w:type="dxa"/>
              <w:right w:w="0" w:type="dxa"/>
            </w:tcMar>
            <w:vAlign w:val="center"/>
          </w:tcPr>
          <w:p w14:paraId="358CE58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-20.4</w:t>
            </w:r>
          </w:p>
        </w:tc>
        <w:tc>
          <w:tcPr>
            <w:tcW w:w="0" w:type="auto"/>
            <w:tcBorders>
              <w:bottom w:val="single" w:sz="6" w:space="0" w:color="D8DDEA"/>
            </w:tcBorders>
            <w:shd w:val="clear" w:color="auto" w:fill="D8DDEA"/>
            <w:tcMar>
              <w:top w:w="15" w:type="dxa"/>
              <w:left w:w="0" w:type="dxa"/>
              <w:bottom w:w="15" w:type="dxa"/>
              <w:right w:w="0" w:type="dxa"/>
            </w:tcMar>
            <w:vAlign w:val="center"/>
          </w:tcPr>
          <w:p w14:paraId="794E854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-35.8</w:t>
            </w:r>
          </w:p>
        </w:tc>
        <w:tc>
          <w:tcPr>
            <w:tcW w:w="0" w:type="auto"/>
            <w:tcBorders>
              <w:bottom w:val="single" w:sz="6" w:space="0" w:color="D8DDEA"/>
            </w:tcBorders>
            <w:shd w:val="clear" w:color="auto" w:fill="D8DDEA"/>
            <w:tcMar>
              <w:top w:w="15" w:type="dxa"/>
              <w:left w:w="0" w:type="dxa"/>
              <w:bottom w:w="15" w:type="dxa"/>
              <w:right w:w="0" w:type="dxa"/>
            </w:tcMar>
            <w:vAlign w:val="center"/>
          </w:tcPr>
          <w:p w14:paraId="545B935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-6.10</w:t>
            </w:r>
          </w:p>
        </w:tc>
        <w:tc>
          <w:tcPr>
            <w:tcW w:w="0" w:type="auto"/>
            <w:tcBorders>
              <w:bottom w:val="single" w:sz="6" w:space="0" w:color="D8DDEA"/>
            </w:tcBorders>
            <w:shd w:val="clear" w:color="auto" w:fill="D8DDEA"/>
            <w:tcMar>
              <w:top w:w="15" w:type="dxa"/>
              <w:left w:w="0" w:type="dxa"/>
              <w:bottom w:w="15" w:type="dxa"/>
              <w:right w:w="0" w:type="dxa"/>
            </w:tcMar>
            <w:vAlign w:val="center"/>
          </w:tcPr>
          <w:p w14:paraId="583134D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-4.12</w:t>
            </w:r>
          </w:p>
        </w:tc>
        <w:tc>
          <w:tcPr>
            <w:tcW w:w="0" w:type="auto"/>
            <w:tcBorders>
              <w:bottom w:val="single" w:sz="6" w:space="0" w:color="D8DDEA"/>
            </w:tcBorders>
            <w:shd w:val="clear" w:color="auto" w:fill="D8DDEA"/>
            <w:tcMar>
              <w:top w:w="15" w:type="dxa"/>
              <w:left w:w="0" w:type="dxa"/>
              <w:bottom w:w="15" w:type="dxa"/>
              <w:right w:w="0" w:type="dxa"/>
            </w:tcMar>
            <w:vAlign w:val="center"/>
          </w:tcPr>
          <w:p w14:paraId="72C4348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-11.6</w:t>
            </w:r>
          </w:p>
        </w:tc>
        <w:tc>
          <w:tcPr>
            <w:tcW w:w="0" w:type="auto"/>
            <w:tcBorders>
              <w:bottom w:val="single" w:sz="6" w:space="0" w:color="D8DDEA"/>
            </w:tcBorders>
            <w:shd w:val="clear" w:color="auto" w:fill="D8DDEA"/>
            <w:tcMar>
              <w:top w:w="15" w:type="dxa"/>
              <w:left w:w="0" w:type="dxa"/>
              <w:bottom w:w="15" w:type="dxa"/>
              <w:right w:w="0" w:type="dxa"/>
            </w:tcMar>
            <w:vAlign w:val="center"/>
          </w:tcPr>
          <w:p w14:paraId="6C21046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D8DDEA"/>
            <w:tcMar>
              <w:top w:w="15" w:type="dxa"/>
              <w:left w:w="0" w:type="dxa"/>
              <w:bottom w:w="15" w:type="dxa"/>
              <w:right w:w="0" w:type="dxa"/>
            </w:tcMar>
            <w:vAlign w:val="center"/>
          </w:tcPr>
          <w:p w14:paraId="49B1BA2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D8DDEA"/>
            <w:tcMar>
              <w:top w:w="15" w:type="dxa"/>
              <w:left w:w="0" w:type="dxa"/>
              <w:bottom w:w="15" w:type="dxa"/>
              <w:right w:w="0" w:type="dxa"/>
            </w:tcMar>
            <w:vAlign w:val="center"/>
          </w:tcPr>
          <w:p w14:paraId="423F5DE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-17.6</w:t>
            </w:r>
          </w:p>
        </w:tc>
        <w:tc>
          <w:tcPr>
            <w:tcW w:w="0" w:type="auto"/>
            <w:tcBorders>
              <w:bottom w:val="single" w:sz="6" w:space="0" w:color="D8DDEA"/>
            </w:tcBorders>
            <w:shd w:val="clear" w:color="auto" w:fill="D8DDEA"/>
            <w:tcMar>
              <w:top w:w="15" w:type="dxa"/>
              <w:left w:w="0" w:type="dxa"/>
              <w:bottom w:w="15" w:type="dxa"/>
              <w:right w:w="0" w:type="dxa"/>
            </w:tcMar>
            <w:vAlign w:val="center"/>
          </w:tcPr>
          <w:p w14:paraId="140365A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380991D8"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295585C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2021-22</w:t>
            </w:r>
          </w:p>
        </w:tc>
        <w:tc>
          <w:tcPr>
            <w:tcW w:w="0" w:type="auto"/>
            <w:tcBorders>
              <w:bottom w:val="single" w:sz="6" w:space="0" w:color="D8DDEA"/>
            </w:tcBorders>
            <w:shd w:val="clear" w:color="auto" w:fill="FAFAFA"/>
            <w:tcMar>
              <w:top w:w="15" w:type="dxa"/>
              <w:left w:w="0" w:type="dxa"/>
              <w:bottom w:w="15" w:type="dxa"/>
              <w:right w:w="0" w:type="dxa"/>
            </w:tcMar>
            <w:vAlign w:val="center"/>
          </w:tcPr>
          <w:p w14:paraId="50FAB80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14.2</w:t>
            </w:r>
          </w:p>
        </w:tc>
        <w:tc>
          <w:tcPr>
            <w:tcW w:w="0" w:type="auto"/>
            <w:tcBorders>
              <w:bottom w:val="single" w:sz="6" w:space="0" w:color="D8DDEA"/>
            </w:tcBorders>
            <w:shd w:val="clear" w:color="auto" w:fill="FAFAFA"/>
            <w:tcMar>
              <w:top w:w="15" w:type="dxa"/>
              <w:left w:w="0" w:type="dxa"/>
              <w:bottom w:w="15" w:type="dxa"/>
              <w:right w:w="0" w:type="dxa"/>
            </w:tcMar>
            <w:vAlign w:val="center"/>
          </w:tcPr>
          <w:p w14:paraId="3D71D07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15.9</w:t>
            </w:r>
          </w:p>
        </w:tc>
        <w:tc>
          <w:tcPr>
            <w:tcW w:w="0" w:type="auto"/>
            <w:tcBorders>
              <w:bottom w:val="single" w:sz="6" w:space="0" w:color="D8DDEA"/>
            </w:tcBorders>
            <w:shd w:val="clear" w:color="auto" w:fill="FAFAFA"/>
            <w:tcMar>
              <w:top w:w="15" w:type="dxa"/>
              <w:left w:w="0" w:type="dxa"/>
              <w:bottom w:w="15" w:type="dxa"/>
              <w:right w:w="0" w:type="dxa"/>
            </w:tcMar>
            <w:vAlign w:val="center"/>
          </w:tcPr>
          <w:p w14:paraId="525801E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2.29</w:t>
            </w:r>
          </w:p>
        </w:tc>
        <w:tc>
          <w:tcPr>
            <w:tcW w:w="0" w:type="auto"/>
            <w:tcBorders>
              <w:bottom w:val="single" w:sz="6" w:space="0" w:color="D8DDEA"/>
            </w:tcBorders>
            <w:shd w:val="clear" w:color="auto" w:fill="FAFAFA"/>
            <w:tcMar>
              <w:top w:w="15" w:type="dxa"/>
              <w:left w:w="0" w:type="dxa"/>
              <w:bottom w:w="15" w:type="dxa"/>
              <w:right w:w="0" w:type="dxa"/>
            </w:tcMar>
            <w:vAlign w:val="center"/>
          </w:tcPr>
          <w:p w14:paraId="154D16F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2.51</w:t>
            </w:r>
          </w:p>
        </w:tc>
        <w:tc>
          <w:tcPr>
            <w:tcW w:w="0" w:type="auto"/>
            <w:tcBorders>
              <w:bottom w:val="single" w:sz="6" w:space="0" w:color="D8DDEA"/>
            </w:tcBorders>
            <w:shd w:val="clear" w:color="auto" w:fill="FAFAFA"/>
            <w:tcMar>
              <w:top w:w="15" w:type="dxa"/>
              <w:left w:w="0" w:type="dxa"/>
              <w:bottom w:w="15" w:type="dxa"/>
              <w:right w:w="0" w:type="dxa"/>
            </w:tcMar>
            <w:vAlign w:val="center"/>
          </w:tcPr>
          <w:p w14:paraId="4976CFB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7.89</w:t>
            </w:r>
          </w:p>
        </w:tc>
        <w:tc>
          <w:tcPr>
            <w:tcW w:w="0" w:type="auto"/>
            <w:tcBorders>
              <w:bottom w:val="single" w:sz="6" w:space="0" w:color="D8DDEA"/>
            </w:tcBorders>
            <w:shd w:val="clear" w:color="auto" w:fill="FAFAFA"/>
            <w:tcMar>
              <w:top w:w="15" w:type="dxa"/>
              <w:left w:w="0" w:type="dxa"/>
              <w:bottom w:w="15" w:type="dxa"/>
              <w:right w:w="0" w:type="dxa"/>
            </w:tcMar>
            <w:vAlign w:val="center"/>
          </w:tcPr>
          <w:p w14:paraId="6E0C162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0BA61C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946157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40B3427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0077447D"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622CD14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2022-23</w:t>
            </w:r>
          </w:p>
        </w:tc>
        <w:tc>
          <w:tcPr>
            <w:tcW w:w="0" w:type="auto"/>
            <w:tcBorders>
              <w:bottom w:val="single" w:sz="6" w:space="0" w:color="D8DDEA"/>
            </w:tcBorders>
            <w:shd w:val="clear" w:color="auto" w:fill="FAFAFA"/>
            <w:tcMar>
              <w:top w:w="15" w:type="dxa"/>
              <w:left w:w="0" w:type="dxa"/>
              <w:bottom w:w="15" w:type="dxa"/>
              <w:right w:w="0" w:type="dxa"/>
            </w:tcMar>
            <w:vAlign w:val="center"/>
          </w:tcPr>
          <w:p w14:paraId="6C665BE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3.70</w:t>
            </w:r>
          </w:p>
        </w:tc>
        <w:tc>
          <w:tcPr>
            <w:tcW w:w="0" w:type="auto"/>
            <w:tcBorders>
              <w:bottom w:val="single" w:sz="6" w:space="0" w:color="D8DDEA"/>
            </w:tcBorders>
            <w:shd w:val="clear" w:color="auto" w:fill="FAFAFA"/>
            <w:tcMar>
              <w:top w:w="15" w:type="dxa"/>
              <w:left w:w="0" w:type="dxa"/>
              <w:bottom w:w="15" w:type="dxa"/>
              <w:right w:w="0" w:type="dxa"/>
            </w:tcMar>
            <w:vAlign w:val="center"/>
          </w:tcPr>
          <w:p w14:paraId="2DE07A1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30.2</w:t>
            </w:r>
          </w:p>
        </w:tc>
        <w:tc>
          <w:tcPr>
            <w:tcW w:w="0" w:type="auto"/>
            <w:tcBorders>
              <w:bottom w:val="single" w:sz="6" w:space="0" w:color="D8DDEA"/>
            </w:tcBorders>
            <w:shd w:val="clear" w:color="auto" w:fill="FAFAFA"/>
            <w:tcMar>
              <w:top w:w="15" w:type="dxa"/>
              <w:left w:w="0" w:type="dxa"/>
              <w:bottom w:w="15" w:type="dxa"/>
              <w:right w:w="0" w:type="dxa"/>
            </w:tcMar>
            <w:vAlign w:val="center"/>
          </w:tcPr>
          <w:p w14:paraId="17B8C82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1.10</w:t>
            </w:r>
          </w:p>
        </w:tc>
        <w:tc>
          <w:tcPr>
            <w:tcW w:w="0" w:type="auto"/>
            <w:tcBorders>
              <w:bottom w:val="single" w:sz="6" w:space="0" w:color="D8DDEA"/>
            </w:tcBorders>
            <w:shd w:val="clear" w:color="auto" w:fill="FAFAFA"/>
            <w:tcMar>
              <w:top w:w="15" w:type="dxa"/>
              <w:left w:w="0" w:type="dxa"/>
              <w:bottom w:w="15" w:type="dxa"/>
              <w:right w:w="0" w:type="dxa"/>
            </w:tcMar>
            <w:vAlign w:val="center"/>
          </w:tcPr>
          <w:p w14:paraId="26E36D6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1.28</w:t>
            </w:r>
          </w:p>
        </w:tc>
        <w:tc>
          <w:tcPr>
            <w:tcW w:w="0" w:type="auto"/>
            <w:tcBorders>
              <w:bottom w:val="single" w:sz="6" w:space="0" w:color="D8DDEA"/>
            </w:tcBorders>
            <w:shd w:val="clear" w:color="auto" w:fill="FAFAFA"/>
            <w:tcMar>
              <w:top w:w="15" w:type="dxa"/>
              <w:left w:w="0" w:type="dxa"/>
              <w:bottom w:w="15" w:type="dxa"/>
              <w:right w:w="0" w:type="dxa"/>
            </w:tcMar>
            <w:vAlign w:val="center"/>
          </w:tcPr>
          <w:p w14:paraId="7DE94EE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1.60</w:t>
            </w:r>
          </w:p>
        </w:tc>
        <w:tc>
          <w:tcPr>
            <w:tcW w:w="0" w:type="auto"/>
            <w:tcBorders>
              <w:bottom w:val="single" w:sz="6" w:space="0" w:color="D8DDEA"/>
            </w:tcBorders>
            <w:shd w:val="clear" w:color="auto" w:fill="FAFAFA"/>
            <w:tcMar>
              <w:top w:w="15" w:type="dxa"/>
              <w:left w:w="0" w:type="dxa"/>
              <w:bottom w:w="15" w:type="dxa"/>
              <w:right w:w="0" w:type="dxa"/>
            </w:tcMar>
            <w:vAlign w:val="center"/>
          </w:tcPr>
          <w:p w14:paraId="7A84D41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4CAB22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F217CF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2.85</w:t>
            </w:r>
          </w:p>
        </w:tc>
        <w:tc>
          <w:tcPr>
            <w:tcW w:w="0" w:type="auto"/>
            <w:tcBorders>
              <w:bottom w:val="single" w:sz="6" w:space="0" w:color="D8DDEA"/>
            </w:tcBorders>
            <w:shd w:val="clear" w:color="auto" w:fill="FAFAFA"/>
            <w:tcMar>
              <w:top w:w="15" w:type="dxa"/>
              <w:left w:w="0" w:type="dxa"/>
              <w:bottom w:w="15" w:type="dxa"/>
              <w:right w:w="0" w:type="dxa"/>
            </w:tcMar>
            <w:vAlign w:val="center"/>
          </w:tcPr>
          <w:p w14:paraId="42C4517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738DD5BA"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7A8B309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2023-24</w:t>
            </w:r>
          </w:p>
        </w:tc>
        <w:tc>
          <w:tcPr>
            <w:tcW w:w="0" w:type="auto"/>
            <w:tcBorders>
              <w:bottom w:val="single" w:sz="6" w:space="0" w:color="D8DDEA"/>
            </w:tcBorders>
            <w:shd w:val="clear" w:color="auto" w:fill="FAFAFA"/>
            <w:tcMar>
              <w:top w:w="15" w:type="dxa"/>
              <w:left w:w="0" w:type="dxa"/>
              <w:bottom w:w="15" w:type="dxa"/>
              <w:right w:w="0" w:type="dxa"/>
            </w:tcMar>
            <w:vAlign w:val="center"/>
          </w:tcPr>
          <w:p w14:paraId="48D4387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2.49</w:t>
            </w:r>
          </w:p>
        </w:tc>
        <w:tc>
          <w:tcPr>
            <w:tcW w:w="0" w:type="auto"/>
            <w:tcBorders>
              <w:bottom w:val="single" w:sz="6" w:space="0" w:color="D8DDEA"/>
            </w:tcBorders>
            <w:shd w:val="clear" w:color="auto" w:fill="FAFAFA"/>
            <w:tcMar>
              <w:top w:w="15" w:type="dxa"/>
              <w:left w:w="0" w:type="dxa"/>
              <w:bottom w:w="15" w:type="dxa"/>
              <w:right w:w="0" w:type="dxa"/>
            </w:tcMar>
            <w:vAlign w:val="center"/>
          </w:tcPr>
          <w:p w14:paraId="108745B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7.03</w:t>
            </w:r>
          </w:p>
        </w:tc>
        <w:tc>
          <w:tcPr>
            <w:tcW w:w="0" w:type="auto"/>
            <w:tcBorders>
              <w:bottom w:val="single" w:sz="6" w:space="0" w:color="D8DDEA"/>
            </w:tcBorders>
            <w:shd w:val="clear" w:color="auto" w:fill="FAFAFA"/>
            <w:tcMar>
              <w:top w:w="15" w:type="dxa"/>
              <w:left w:w="0" w:type="dxa"/>
              <w:bottom w:w="15" w:type="dxa"/>
              <w:right w:w="0" w:type="dxa"/>
            </w:tcMar>
            <w:vAlign w:val="center"/>
          </w:tcPr>
          <w:p w14:paraId="308A231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0.90</w:t>
            </w:r>
          </w:p>
        </w:tc>
        <w:tc>
          <w:tcPr>
            <w:tcW w:w="0" w:type="auto"/>
            <w:tcBorders>
              <w:bottom w:val="single" w:sz="6" w:space="0" w:color="D8DDEA"/>
            </w:tcBorders>
            <w:shd w:val="clear" w:color="auto" w:fill="FAFAFA"/>
            <w:tcMar>
              <w:top w:w="15" w:type="dxa"/>
              <w:left w:w="0" w:type="dxa"/>
              <w:bottom w:w="15" w:type="dxa"/>
              <w:right w:w="0" w:type="dxa"/>
            </w:tcMar>
            <w:vAlign w:val="center"/>
          </w:tcPr>
          <w:p w14:paraId="3E71309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2.40</w:t>
            </w:r>
          </w:p>
        </w:tc>
        <w:tc>
          <w:tcPr>
            <w:tcW w:w="0" w:type="auto"/>
            <w:tcBorders>
              <w:bottom w:val="single" w:sz="6" w:space="0" w:color="D8DDEA"/>
            </w:tcBorders>
            <w:shd w:val="clear" w:color="auto" w:fill="FAFAFA"/>
            <w:tcMar>
              <w:top w:w="15" w:type="dxa"/>
              <w:left w:w="0" w:type="dxa"/>
              <w:bottom w:w="15" w:type="dxa"/>
              <w:right w:w="0" w:type="dxa"/>
            </w:tcMar>
            <w:vAlign w:val="center"/>
          </w:tcPr>
          <w:p w14:paraId="1762587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0.69</w:t>
            </w:r>
          </w:p>
        </w:tc>
        <w:tc>
          <w:tcPr>
            <w:tcW w:w="0" w:type="auto"/>
            <w:tcBorders>
              <w:bottom w:val="single" w:sz="6" w:space="0" w:color="D8DDEA"/>
            </w:tcBorders>
            <w:shd w:val="clear" w:color="auto" w:fill="FAFAFA"/>
            <w:tcMar>
              <w:top w:w="15" w:type="dxa"/>
              <w:left w:w="0" w:type="dxa"/>
              <w:bottom w:w="15" w:type="dxa"/>
              <w:right w:w="0" w:type="dxa"/>
            </w:tcMar>
            <w:vAlign w:val="center"/>
          </w:tcPr>
          <w:p w14:paraId="32E8A2E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1BD367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2DEDA2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1.78</w:t>
            </w:r>
          </w:p>
        </w:tc>
        <w:tc>
          <w:tcPr>
            <w:tcW w:w="0" w:type="auto"/>
            <w:tcBorders>
              <w:bottom w:val="single" w:sz="6" w:space="0" w:color="D8DDEA"/>
            </w:tcBorders>
            <w:shd w:val="clear" w:color="auto" w:fill="FAFAFA"/>
            <w:tcMar>
              <w:top w:w="15" w:type="dxa"/>
              <w:left w:w="0" w:type="dxa"/>
              <w:bottom w:w="15" w:type="dxa"/>
              <w:right w:w="0" w:type="dxa"/>
            </w:tcMar>
            <w:vAlign w:val="center"/>
          </w:tcPr>
          <w:p w14:paraId="6A63039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3F00FD1C"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234D35E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2024-25</w:t>
            </w:r>
          </w:p>
        </w:tc>
        <w:tc>
          <w:tcPr>
            <w:tcW w:w="0" w:type="auto"/>
            <w:tcBorders>
              <w:bottom w:val="single" w:sz="6" w:space="0" w:color="D8DDEA"/>
            </w:tcBorders>
            <w:shd w:val="clear" w:color="auto" w:fill="FAFAFA"/>
            <w:tcMar>
              <w:top w:w="15" w:type="dxa"/>
              <w:left w:w="0" w:type="dxa"/>
              <w:bottom w:w="15" w:type="dxa"/>
              <w:right w:w="0" w:type="dxa"/>
            </w:tcMar>
            <w:vAlign w:val="center"/>
          </w:tcPr>
          <w:p w14:paraId="6419F08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2.20</w:t>
            </w:r>
          </w:p>
        </w:tc>
        <w:tc>
          <w:tcPr>
            <w:tcW w:w="0" w:type="auto"/>
            <w:tcBorders>
              <w:bottom w:val="single" w:sz="6" w:space="0" w:color="D8DDEA"/>
            </w:tcBorders>
            <w:shd w:val="clear" w:color="auto" w:fill="FAFAFA"/>
            <w:tcMar>
              <w:top w:w="15" w:type="dxa"/>
              <w:left w:w="0" w:type="dxa"/>
              <w:bottom w:w="15" w:type="dxa"/>
              <w:right w:w="0" w:type="dxa"/>
            </w:tcMar>
            <w:vAlign w:val="center"/>
          </w:tcPr>
          <w:p w14:paraId="522C5BE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3.50</w:t>
            </w:r>
          </w:p>
        </w:tc>
        <w:tc>
          <w:tcPr>
            <w:tcW w:w="0" w:type="auto"/>
            <w:tcBorders>
              <w:bottom w:val="single" w:sz="6" w:space="0" w:color="D8DDEA"/>
            </w:tcBorders>
            <w:shd w:val="clear" w:color="auto" w:fill="FAFAFA"/>
            <w:tcMar>
              <w:top w:w="15" w:type="dxa"/>
              <w:left w:w="0" w:type="dxa"/>
              <w:bottom w:w="15" w:type="dxa"/>
              <w:right w:w="0" w:type="dxa"/>
            </w:tcMar>
            <w:vAlign w:val="center"/>
          </w:tcPr>
          <w:p w14:paraId="0ACF95D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2.00</w:t>
            </w:r>
          </w:p>
        </w:tc>
        <w:tc>
          <w:tcPr>
            <w:tcW w:w="0" w:type="auto"/>
            <w:tcBorders>
              <w:bottom w:val="single" w:sz="6" w:space="0" w:color="D8DDEA"/>
            </w:tcBorders>
            <w:shd w:val="clear" w:color="auto" w:fill="FAFAFA"/>
            <w:tcMar>
              <w:top w:w="15" w:type="dxa"/>
              <w:left w:w="0" w:type="dxa"/>
              <w:bottom w:w="15" w:type="dxa"/>
              <w:right w:w="0" w:type="dxa"/>
            </w:tcMar>
            <w:vAlign w:val="center"/>
          </w:tcPr>
          <w:p w14:paraId="58B47E3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1F5C1D9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0.90</w:t>
            </w:r>
          </w:p>
        </w:tc>
        <w:tc>
          <w:tcPr>
            <w:tcW w:w="0" w:type="auto"/>
            <w:tcBorders>
              <w:bottom w:val="single" w:sz="6" w:space="0" w:color="D8DDEA"/>
            </w:tcBorders>
            <w:shd w:val="clear" w:color="auto" w:fill="FAFAFA"/>
            <w:tcMar>
              <w:top w:w="15" w:type="dxa"/>
              <w:left w:w="0" w:type="dxa"/>
              <w:bottom w:w="15" w:type="dxa"/>
              <w:right w:w="0" w:type="dxa"/>
            </w:tcMar>
            <w:vAlign w:val="center"/>
          </w:tcPr>
          <w:p w14:paraId="2BE8EB0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18C261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89EC21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1.68</w:t>
            </w:r>
          </w:p>
        </w:tc>
        <w:tc>
          <w:tcPr>
            <w:tcW w:w="0" w:type="auto"/>
            <w:tcBorders>
              <w:bottom w:val="single" w:sz="6" w:space="0" w:color="D8DDEA"/>
            </w:tcBorders>
            <w:shd w:val="clear" w:color="auto" w:fill="FAFAFA"/>
            <w:tcMar>
              <w:top w:w="15" w:type="dxa"/>
              <w:left w:w="0" w:type="dxa"/>
              <w:bottom w:w="15" w:type="dxa"/>
              <w:right w:w="0" w:type="dxa"/>
            </w:tcMar>
            <w:vAlign w:val="center"/>
          </w:tcPr>
          <w:p w14:paraId="1D89800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r w:rsidR="00B16DFE" w14:paraId="0ADB6D7E"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23FAE4F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2025-26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6B2F216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1.80</w:t>
            </w:r>
          </w:p>
        </w:tc>
        <w:tc>
          <w:tcPr>
            <w:tcW w:w="0" w:type="auto"/>
            <w:tcBorders>
              <w:bottom w:val="single" w:sz="6" w:space="0" w:color="D8DDEA"/>
            </w:tcBorders>
            <w:shd w:val="clear" w:color="auto" w:fill="FAFAFA"/>
            <w:tcMar>
              <w:top w:w="15" w:type="dxa"/>
              <w:left w:w="0" w:type="dxa"/>
              <w:bottom w:w="15" w:type="dxa"/>
              <w:right w:w="0" w:type="dxa"/>
            </w:tcMar>
            <w:vAlign w:val="center"/>
          </w:tcPr>
          <w:p w14:paraId="0A229EA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5.54</w:t>
            </w:r>
          </w:p>
        </w:tc>
        <w:tc>
          <w:tcPr>
            <w:tcW w:w="0" w:type="auto"/>
            <w:tcBorders>
              <w:bottom w:val="single" w:sz="6" w:space="0" w:color="D8DDEA"/>
            </w:tcBorders>
            <w:shd w:val="clear" w:color="auto" w:fill="FAFAFA"/>
            <w:tcMar>
              <w:top w:w="15" w:type="dxa"/>
              <w:left w:w="0" w:type="dxa"/>
              <w:bottom w:w="15" w:type="dxa"/>
              <w:right w:w="0" w:type="dxa"/>
            </w:tcMar>
            <w:vAlign w:val="center"/>
          </w:tcPr>
          <w:p w14:paraId="6D2C515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1.49</w:t>
            </w:r>
          </w:p>
        </w:tc>
        <w:tc>
          <w:tcPr>
            <w:tcW w:w="0" w:type="auto"/>
            <w:tcBorders>
              <w:bottom w:val="single" w:sz="6" w:space="0" w:color="D8DDEA"/>
            </w:tcBorders>
            <w:shd w:val="clear" w:color="auto" w:fill="FAFAFA"/>
            <w:tcMar>
              <w:top w:w="15" w:type="dxa"/>
              <w:left w:w="0" w:type="dxa"/>
              <w:bottom w:w="15" w:type="dxa"/>
              <w:right w:w="0" w:type="dxa"/>
            </w:tcMar>
            <w:vAlign w:val="center"/>
          </w:tcPr>
          <w:p w14:paraId="5839620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0.89</w:t>
            </w:r>
          </w:p>
        </w:tc>
        <w:tc>
          <w:tcPr>
            <w:tcW w:w="0" w:type="auto"/>
            <w:tcBorders>
              <w:bottom w:val="single" w:sz="6" w:space="0" w:color="D8DDEA"/>
            </w:tcBorders>
            <w:shd w:val="clear" w:color="auto" w:fill="FAFAFA"/>
            <w:tcMar>
              <w:top w:w="15" w:type="dxa"/>
              <w:left w:w="0" w:type="dxa"/>
              <w:bottom w:w="15" w:type="dxa"/>
              <w:right w:w="0" w:type="dxa"/>
            </w:tcMar>
            <w:vAlign w:val="center"/>
          </w:tcPr>
          <w:p w14:paraId="2C7378D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1.30</w:t>
            </w:r>
          </w:p>
        </w:tc>
        <w:tc>
          <w:tcPr>
            <w:tcW w:w="0" w:type="auto"/>
            <w:tcBorders>
              <w:bottom w:val="single" w:sz="6" w:space="0" w:color="D8DDEA"/>
            </w:tcBorders>
            <w:shd w:val="clear" w:color="auto" w:fill="FAFAFA"/>
            <w:tcMar>
              <w:top w:w="15" w:type="dxa"/>
              <w:left w:w="0" w:type="dxa"/>
              <w:bottom w:w="15" w:type="dxa"/>
              <w:right w:w="0" w:type="dxa"/>
            </w:tcMar>
            <w:vAlign w:val="center"/>
          </w:tcPr>
          <w:p w14:paraId="64EFD46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FB5514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49FB2DE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1.59</w:t>
            </w:r>
          </w:p>
        </w:tc>
        <w:tc>
          <w:tcPr>
            <w:tcW w:w="0" w:type="auto"/>
            <w:tcBorders>
              <w:bottom w:val="single" w:sz="6" w:space="0" w:color="D8DDEA"/>
            </w:tcBorders>
            <w:shd w:val="clear" w:color="auto" w:fill="FAFAFA"/>
            <w:tcMar>
              <w:top w:w="15" w:type="dxa"/>
              <w:left w:w="0" w:type="dxa"/>
              <w:bottom w:w="15" w:type="dxa"/>
              <w:right w:w="0" w:type="dxa"/>
            </w:tcMar>
            <w:vAlign w:val="center"/>
          </w:tcPr>
          <w:p w14:paraId="441C404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r>
    </w:tbl>
    <w:p w14:paraId="1F0431FF" w14:textId="77777777" w:rsidR="00B16DFE" w:rsidRDefault="009F0859">
      <w:pPr>
        <w:pStyle w:val="Heading2"/>
        <w:spacing w:before="150" w:line="270" w:lineRule="atLeast"/>
        <w:rPr>
          <w:rFonts w:ascii="Arial" w:eastAsia="Arial" w:hAnsi="Arial" w:cs="Arial"/>
          <w:color w:val="333333"/>
          <w:spacing w:val="4"/>
          <w:sz w:val="21"/>
          <w:szCs w:val="21"/>
        </w:rPr>
      </w:pPr>
      <w:bookmarkStart w:id="38" w:name="_Toc39"/>
      <w:r>
        <w:rPr>
          <w:rFonts w:ascii="Arial" w:eastAsia="Arial" w:hAnsi="Arial" w:cs="Arial"/>
          <w:color w:val="333333"/>
          <w:spacing w:val="4"/>
          <w:sz w:val="21"/>
          <w:szCs w:val="21"/>
        </w:rPr>
        <w:t>Key Ratios</w:t>
      </w:r>
      <w:bookmarkEnd w:id="38"/>
    </w:p>
    <w:tbl>
      <w:tblPr>
        <w:tblW w:w="0" w:type="auto"/>
        <w:tblCellSpacing w:w="0" w:type="dxa"/>
        <w:tblBorders>
          <w:top w:val="nil"/>
          <w:left w:val="nil"/>
          <w:bottom w:val="nil"/>
          <w:right w:val="nil"/>
          <w:insideH w:val="nil"/>
          <w:insideV w:val="nil"/>
        </w:tblBorders>
        <w:shd w:val="clear" w:color="auto" w:fill="FAFAFA"/>
        <w:tblLook w:val="04A0" w:firstRow="1" w:lastRow="0" w:firstColumn="1" w:lastColumn="0" w:noHBand="0" w:noVBand="1"/>
      </w:tblPr>
      <w:tblGrid>
        <w:gridCol w:w="810"/>
        <w:gridCol w:w="1350"/>
        <w:gridCol w:w="1350"/>
        <w:gridCol w:w="1350"/>
        <w:gridCol w:w="1350"/>
        <w:gridCol w:w="1350"/>
        <w:gridCol w:w="1350"/>
        <w:gridCol w:w="1350"/>
      </w:tblGrid>
      <w:tr w:rsidR="00B16DFE" w14:paraId="44A34897" w14:textId="77777777">
        <w:trPr>
          <w:tblHeader/>
          <w:tblCellSpacing w:w="0" w:type="dxa"/>
        </w:trPr>
        <w:tc>
          <w:tcPr>
            <w:tcW w:w="810" w:type="dxa"/>
            <w:shd w:val="clear" w:color="auto" w:fill="FAFAFA"/>
            <w:tcMar>
              <w:top w:w="30" w:type="dxa"/>
              <w:left w:w="0" w:type="dxa"/>
              <w:bottom w:w="0" w:type="dxa"/>
              <w:right w:w="0" w:type="dxa"/>
            </w:tcMar>
            <w:vAlign w:val="bottom"/>
          </w:tcPr>
          <w:p w14:paraId="7EFED874"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Year</w:t>
            </w:r>
          </w:p>
        </w:tc>
        <w:tc>
          <w:tcPr>
            <w:tcW w:w="1350" w:type="dxa"/>
            <w:shd w:val="clear" w:color="auto" w:fill="FAFAFA"/>
            <w:tcMar>
              <w:top w:w="30" w:type="dxa"/>
              <w:left w:w="0" w:type="dxa"/>
              <w:bottom w:w="0" w:type="dxa"/>
              <w:right w:w="0" w:type="dxa"/>
            </w:tcMar>
            <w:vAlign w:val="bottom"/>
          </w:tcPr>
          <w:p w14:paraId="11C2CBA9"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IVA/Revenue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790BCD0F"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Imports/</w:t>
            </w:r>
            <w:r>
              <w:br/>
            </w:r>
            <w:r>
              <w:rPr>
                <w:rFonts w:ascii="Arial" w:eastAsia="Arial" w:hAnsi="Arial" w:cs="Arial"/>
                <w:b/>
                <w:bCs/>
                <w:sz w:val="15"/>
                <w:szCs w:val="15"/>
              </w:rPr>
              <w:t xml:space="preserve">Demand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54C6C144"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Exports/</w:t>
            </w:r>
            <w:r>
              <w:br/>
            </w:r>
            <w:r>
              <w:rPr>
                <w:rFonts w:ascii="Arial" w:eastAsia="Arial" w:hAnsi="Arial" w:cs="Arial"/>
                <w:b/>
                <w:bCs/>
                <w:sz w:val="15"/>
                <w:szCs w:val="15"/>
              </w:rPr>
              <w:t xml:space="preserve">Revenue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67F1419D"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Revenue per</w:t>
            </w:r>
            <w:r>
              <w:br/>
            </w:r>
            <w:r>
              <w:rPr>
                <w:rFonts w:ascii="Arial" w:eastAsia="Arial" w:hAnsi="Arial" w:cs="Arial"/>
                <w:b/>
                <w:bCs/>
                <w:sz w:val="15"/>
                <w:szCs w:val="15"/>
              </w:rPr>
              <w:t xml:space="preserve">Employee </w:t>
            </w:r>
            <w:r>
              <w:br/>
            </w:r>
            <w:r>
              <w:rPr>
                <w:rFonts w:ascii="Arial" w:eastAsia="Arial" w:hAnsi="Arial" w:cs="Arial"/>
                <w:b/>
                <w:bCs/>
                <w:sz w:val="15"/>
                <w:szCs w:val="15"/>
              </w:rPr>
              <w:t>(£'000)</w:t>
            </w:r>
          </w:p>
        </w:tc>
        <w:tc>
          <w:tcPr>
            <w:tcW w:w="1350" w:type="dxa"/>
            <w:shd w:val="clear" w:color="auto" w:fill="FAFAFA"/>
            <w:tcMar>
              <w:top w:w="30" w:type="dxa"/>
              <w:left w:w="0" w:type="dxa"/>
              <w:bottom w:w="0" w:type="dxa"/>
              <w:right w:w="0" w:type="dxa"/>
            </w:tcMar>
            <w:vAlign w:val="bottom"/>
          </w:tcPr>
          <w:p w14:paraId="2D6F242A"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Wages/</w:t>
            </w:r>
            <w:r>
              <w:br/>
            </w:r>
            <w:r>
              <w:rPr>
                <w:rFonts w:ascii="Arial" w:eastAsia="Arial" w:hAnsi="Arial" w:cs="Arial"/>
                <w:b/>
                <w:bCs/>
                <w:sz w:val="15"/>
                <w:szCs w:val="15"/>
              </w:rPr>
              <w:t xml:space="preserve">Revenue </w:t>
            </w:r>
            <w:r>
              <w:br/>
            </w:r>
            <w:r>
              <w:rPr>
                <w:rFonts w:ascii="Arial" w:eastAsia="Arial" w:hAnsi="Arial" w:cs="Arial"/>
                <w:b/>
                <w:bCs/>
                <w:sz w:val="15"/>
                <w:szCs w:val="15"/>
              </w:rPr>
              <w:t>(%)</w:t>
            </w:r>
          </w:p>
        </w:tc>
        <w:tc>
          <w:tcPr>
            <w:tcW w:w="1350" w:type="dxa"/>
            <w:shd w:val="clear" w:color="auto" w:fill="FAFAFA"/>
            <w:tcMar>
              <w:top w:w="30" w:type="dxa"/>
              <w:left w:w="0" w:type="dxa"/>
              <w:bottom w:w="0" w:type="dxa"/>
              <w:right w:w="0" w:type="dxa"/>
            </w:tcMar>
            <w:vAlign w:val="bottom"/>
          </w:tcPr>
          <w:p w14:paraId="1BCB29F7"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Employees per</w:t>
            </w:r>
            <w:r>
              <w:br/>
            </w:r>
            <w:proofErr w:type="spellStart"/>
            <w:r>
              <w:rPr>
                <w:rFonts w:ascii="Arial" w:eastAsia="Arial" w:hAnsi="Arial" w:cs="Arial"/>
                <w:b/>
                <w:bCs/>
                <w:sz w:val="15"/>
                <w:szCs w:val="15"/>
              </w:rPr>
              <w:t>estab</w:t>
            </w:r>
            <w:proofErr w:type="spellEnd"/>
            <w:r>
              <w:rPr>
                <w:rFonts w:ascii="Arial" w:eastAsia="Arial" w:hAnsi="Arial" w:cs="Arial"/>
                <w:b/>
                <w:bCs/>
                <w:sz w:val="15"/>
                <w:szCs w:val="15"/>
              </w:rPr>
              <w:t xml:space="preserve">. </w:t>
            </w:r>
            <w:r>
              <w:br/>
            </w:r>
            <w:r>
              <w:rPr>
                <w:rFonts w:ascii="Arial" w:eastAsia="Arial" w:hAnsi="Arial" w:cs="Arial"/>
                <w:b/>
                <w:bCs/>
                <w:sz w:val="15"/>
                <w:szCs w:val="15"/>
              </w:rPr>
              <w:t>(Units)</w:t>
            </w:r>
          </w:p>
        </w:tc>
        <w:tc>
          <w:tcPr>
            <w:tcW w:w="1350" w:type="dxa"/>
            <w:shd w:val="clear" w:color="auto" w:fill="FAFAFA"/>
            <w:tcMar>
              <w:top w:w="30" w:type="dxa"/>
              <w:left w:w="0" w:type="dxa"/>
              <w:bottom w:w="0" w:type="dxa"/>
              <w:right w:w="0" w:type="dxa"/>
            </w:tcMar>
            <w:vAlign w:val="bottom"/>
          </w:tcPr>
          <w:p w14:paraId="5C159FE0" w14:textId="77777777" w:rsidR="00B16DFE" w:rsidRDefault="009F0859">
            <w:pPr>
              <w:keepNext/>
              <w:keepLines/>
              <w:shd w:val="clear" w:color="auto" w:fill="FAFAFA"/>
              <w:spacing w:before="30" w:after="0" w:line="288" w:lineRule="auto"/>
              <w:jc w:val="right"/>
              <w:rPr>
                <w:rFonts w:ascii="Arial" w:eastAsia="Arial" w:hAnsi="Arial" w:cs="Arial"/>
                <w:b/>
                <w:bCs/>
                <w:sz w:val="15"/>
                <w:szCs w:val="15"/>
              </w:rPr>
            </w:pPr>
            <w:r>
              <w:rPr>
                <w:rFonts w:ascii="Arial" w:eastAsia="Arial" w:hAnsi="Arial" w:cs="Arial"/>
                <w:b/>
                <w:bCs/>
                <w:sz w:val="15"/>
                <w:szCs w:val="15"/>
              </w:rPr>
              <w:t xml:space="preserve">Average </w:t>
            </w:r>
            <w:proofErr w:type="gramStart"/>
            <w:r>
              <w:rPr>
                <w:rFonts w:ascii="Arial" w:eastAsia="Arial" w:hAnsi="Arial" w:cs="Arial"/>
                <w:b/>
                <w:bCs/>
                <w:sz w:val="15"/>
                <w:szCs w:val="15"/>
              </w:rPr>
              <w:t>Wage  (</w:t>
            </w:r>
            <w:proofErr w:type="gramEnd"/>
            <w:r>
              <w:rPr>
                <w:rFonts w:ascii="Arial" w:eastAsia="Arial" w:hAnsi="Arial" w:cs="Arial"/>
                <w:b/>
                <w:bCs/>
                <w:sz w:val="15"/>
                <w:szCs w:val="15"/>
              </w:rPr>
              <w:t>£)</w:t>
            </w:r>
          </w:p>
        </w:tc>
      </w:tr>
      <w:tr w:rsidR="00B16DFE" w14:paraId="4EAB555B" w14:textId="77777777">
        <w:trPr>
          <w:tblCellSpacing w:w="0" w:type="dxa"/>
        </w:trPr>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4724982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2011-12</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61ED0A9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13.5</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5DBB620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78AD4C7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2B5C20F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497</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086A722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7.62</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76A9759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8.38</w:t>
            </w:r>
          </w:p>
        </w:tc>
        <w:tc>
          <w:tcPr>
            <w:tcW w:w="0" w:type="auto"/>
            <w:tcBorders>
              <w:top w:val="single" w:sz="6" w:space="0" w:color="D07368"/>
              <w:bottom w:val="single" w:sz="6" w:space="0" w:color="D8DDEA"/>
            </w:tcBorders>
            <w:shd w:val="clear" w:color="auto" w:fill="FAFAFA"/>
            <w:tcMar>
              <w:top w:w="15" w:type="dxa"/>
              <w:left w:w="0" w:type="dxa"/>
              <w:bottom w:w="15" w:type="dxa"/>
              <w:right w:w="0" w:type="dxa"/>
            </w:tcMar>
            <w:vAlign w:val="center"/>
          </w:tcPr>
          <w:p w14:paraId="5E1109A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37,917</w:t>
            </w:r>
          </w:p>
        </w:tc>
      </w:tr>
      <w:tr w:rsidR="00B16DFE" w14:paraId="4DA55E81"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1DF6652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2012-13</w:t>
            </w:r>
          </w:p>
        </w:tc>
        <w:tc>
          <w:tcPr>
            <w:tcW w:w="0" w:type="auto"/>
            <w:tcBorders>
              <w:bottom w:val="single" w:sz="6" w:space="0" w:color="D8DDEA"/>
            </w:tcBorders>
            <w:shd w:val="clear" w:color="auto" w:fill="FAFAFA"/>
            <w:tcMar>
              <w:top w:w="15" w:type="dxa"/>
              <w:left w:w="0" w:type="dxa"/>
              <w:bottom w:w="15" w:type="dxa"/>
              <w:right w:w="0" w:type="dxa"/>
            </w:tcMar>
            <w:vAlign w:val="center"/>
          </w:tcPr>
          <w:p w14:paraId="1093E5A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12.9</w:t>
            </w:r>
          </w:p>
        </w:tc>
        <w:tc>
          <w:tcPr>
            <w:tcW w:w="0" w:type="auto"/>
            <w:tcBorders>
              <w:bottom w:val="single" w:sz="6" w:space="0" w:color="D8DDEA"/>
            </w:tcBorders>
            <w:shd w:val="clear" w:color="auto" w:fill="FAFAFA"/>
            <w:tcMar>
              <w:top w:w="15" w:type="dxa"/>
              <w:left w:w="0" w:type="dxa"/>
              <w:bottom w:w="15" w:type="dxa"/>
              <w:right w:w="0" w:type="dxa"/>
            </w:tcMar>
            <w:vAlign w:val="center"/>
          </w:tcPr>
          <w:p w14:paraId="14DF33D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1D524C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8F01C4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502</w:t>
            </w:r>
          </w:p>
        </w:tc>
        <w:tc>
          <w:tcPr>
            <w:tcW w:w="0" w:type="auto"/>
            <w:tcBorders>
              <w:bottom w:val="single" w:sz="6" w:space="0" w:color="D8DDEA"/>
            </w:tcBorders>
            <w:shd w:val="clear" w:color="auto" w:fill="FAFAFA"/>
            <w:tcMar>
              <w:top w:w="15" w:type="dxa"/>
              <w:left w:w="0" w:type="dxa"/>
              <w:bottom w:w="15" w:type="dxa"/>
              <w:right w:w="0" w:type="dxa"/>
            </w:tcMar>
            <w:vAlign w:val="center"/>
          </w:tcPr>
          <w:p w14:paraId="2E7924D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7.35</w:t>
            </w:r>
          </w:p>
        </w:tc>
        <w:tc>
          <w:tcPr>
            <w:tcW w:w="0" w:type="auto"/>
            <w:tcBorders>
              <w:bottom w:val="single" w:sz="6" w:space="0" w:color="D8DDEA"/>
            </w:tcBorders>
            <w:shd w:val="clear" w:color="auto" w:fill="FAFAFA"/>
            <w:tcMar>
              <w:top w:w="15" w:type="dxa"/>
              <w:left w:w="0" w:type="dxa"/>
              <w:bottom w:w="15" w:type="dxa"/>
              <w:right w:w="0" w:type="dxa"/>
            </w:tcMar>
            <w:vAlign w:val="center"/>
          </w:tcPr>
          <w:p w14:paraId="7887E2C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7.92</w:t>
            </w:r>
          </w:p>
        </w:tc>
        <w:tc>
          <w:tcPr>
            <w:tcW w:w="0" w:type="auto"/>
            <w:tcBorders>
              <w:bottom w:val="single" w:sz="6" w:space="0" w:color="D8DDEA"/>
            </w:tcBorders>
            <w:shd w:val="clear" w:color="auto" w:fill="FAFAFA"/>
            <w:tcMar>
              <w:top w:w="15" w:type="dxa"/>
              <w:left w:w="0" w:type="dxa"/>
              <w:bottom w:w="15" w:type="dxa"/>
              <w:right w:w="0" w:type="dxa"/>
            </w:tcMar>
            <w:vAlign w:val="center"/>
          </w:tcPr>
          <w:p w14:paraId="101340B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36,857</w:t>
            </w:r>
          </w:p>
        </w:tc>
      </w:tr>
      <w:tr w:rsidR="00B16DFE" w14:paraId="4217D633"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C27480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2013-14</w:t>
            </w:r>
          </w:p>
        </w:tc>
        <w:tc>
          <w:tcPr>
            <w:tcW w:w="0" w:type="auto"/>
            <w:tcBorders>
              <w:bottom w:val="single" w:sz="6" w:space="0" w:color="D8DDEA"/>
            </w:tcBorders>
            <w:shd w:val="clear" w:color="auto" w:fill="FAFAFA"/>
            <w:tcMar>
              <w:top w:w="15" w:type="dxa"/>
              <w:left w:w="0" w:type="dxa"/>
              <w:bottom w:w="15" w:type="dxa"/>
              <w:right w:w="0" w:type="dxa"/>
            </w:tcMar>
            <w:vAlign w:val="center"/>
          </w:tcPr>
          <w:p w14:paraId="6A0384E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13.5</w:t>
            </w:r>
          </w:p>
        </w:tc>
        <w:tc>
          <w:tcPr>
            <w:tcW w:w="0" w:type="auto"/>
            <w:tcBorders>
              <w:bottom w:val="single" w:sz="6" w:space="0" w:color="D8DDEA"/>
            </w:tcBorders>
            <w:shd w:val="clear" w:color="auto" w:fill="FAFAFA"/>
            <w:tcMar>
              <w:top w:w="15" w:type="dxa"/>
              <w:left w:w="0" w:type="dxa"/>
              <w:bottom w:w="15" w:type="dxa"/>
              <w:right w:w="0" w:type="dxa"/>
            </w:tcMar>
            <w:vAlign w:val="center"/>
          </w:tcPr>
          <w:p w14:paraId="240F0AA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01990D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FD6B44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510</w:t>
            </w:r>
          </w:p>
        </w:tc>
        <w:tc>
          <w:tcPr>
            <w:tcW w:w="0" w:type="auto"/>
            <w:tcBorders>
              <w:bottom w:val="single" w:sz="6" w:space="0" w:color="D8DDEA"/>
            </w:tcBorders>
            <w:shd w:val="clear" w:color="auto" w:fill="FAFAFA"/>
            <w:tcMar>
              <w:top w:w="15" w:type="dxa"/>
              <w:left w:w="0" w:type="dxa"/>
              <w:bottom w:w="15" w:type="dxa"/>
              <w:right w:w="0" w:type="dxa"/>
            </w:tcMar>
            <w:vAlign w:val="center"/>
          </w:tcPr>
          <w:p w14:paraId="0ACF649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7.24</w:t>
            </w:r>
          </w:p>
        </w:tc>
        <w:tc>
          <w:tcPr>
            <w:tcW w:w="0" w:type="auto"/>
            <w:tcBorders>
              <w:bottom w:val="single" w:sz="6" w:space="0" w:color="D8DDEA"/>
            </w:tcBorders>
            <w:shd w:val="clear" w:color="auto" w:fill="FAFAFA"/>
            <w:tcMar>
              <w:top w:w="15" w:type="dxa"/>
              <w:left w:w="0" w:type="dxa"/>
              <w:bottom w:w="15" w:type="dxa"/>
              <w:right w:w="0" w:type="dxa"/>
            </w:tcMar>
            <w:vAlign w:val="center"/>
          </w:tcPr>
          <w:p w14:paraId="5153737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8.04</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8157F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36,882</w:t>
            </w:r>
          </w:p>
        </w:tc>
      </w:tr>
      <w:tr w:rsidR="00B16DFE" w14:paraId="0FDE09C1"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278142F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2014-15</w:t>
            </w:r>
          </w:p>
        </w:tc>
        <w:tc>
          <w:tcPr>
            <w:tcW w:w="0" w:type="auto"/>
            <w:tcBorders>
              <w:bottom w:val="single" w:sz="6" w:space="0" w:color="D8DDEA"/>
            </w:tcBorders>
            <w:shd w:val="clear" w:color="auto" w:fill="FAFAFA"/>
            <w:tcMar>
              <w:top w:w="15" w:type="dxa"/>
              <w:left w:w="0" w:type="dxa"/>
              <w:bottom w:w="15" w:type="dxa"/>
              <w:right w:w="0" w:type="dxa"/>
            </w:tcMar>
            <w:vAlign w:val="center"/>
          </w:tcPr>
          <w:p w14:paraId="24F2A87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13.1</w:t>
            </w:r>
          </w:p>
        </w:tc>
        <w:tc>
          <w:tcPr>
            <w:tcW w:w="0" w:type="auto"/>
            <w:tcBorders>
              <w:bottom w:val="single" w:sz="6" w:space="0" w:color="D8DDEA"/>
            </w:tcBorders>
            <w:shd w:val="clear" w:color="auto" w:fill="FAFAFA"/>
            <w:tcMar>
              <w:top w:w="15" w:type="dxa"/>
              <w:left w:w="0" w:type="dxa"/>
              <w:bottom w:w="15" w:type="dxa"/>
              <w:right w:w="0" w:type="dxa"/>
            </w:tcMar>
            <w:vAlign w:val="center"/>
          </w:tcPr>
          <w:p w14:paraId="0C34BF0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5E926B4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22A71E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556</w:t>
            </w:r>
          </w:p>
        </w:tc>
        <w:tc>
          <w:tcPr>
            <w:tcW w:w="0" w:type="auto"/>
            <w:tcBorders>
              <w:bottom w:val="single" w:sz="6" w:space="0" w:color="D8DDEA"/>
            </w:tcBorders>
            <w:shd w:val="clear" w:color="auto" w:fill="FAFAFA"/>
            <w:tcMar>
              <w:top w:w="15" w:type="dxa"/>
              <w:left w:w="0" w:type="dxa"/>
              <w:bottom w:w="15" w:type="dxa"/>
              <w:right w:w="0" w:type="dxa"/>
            </w:tcMar>
            <w:vAlign w:val="center"/>
          </w:tcPr>
          <w:p w14:paraId="2160DFC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6.73</w:t>
            </w:r>
          </w:p>
        </w:tc>
        <w:tc>
          <w:tcPr>
            <w:tcW w:w="0" w:type="auto"/>
            <w:tcBorders>
              <w:bottom w:val="single" w:sz="6" w:space="0" w:color="D8DDEA"/>
            </w:tcBorders>
            <w:shd w:val="clear" w:color="auto" w:fill="FAFAFA"/>
            <w:tcMar>
              <w:top w:w="15" w:type="dxa"/>
              <w:left w:w="0" w:type="dxa"/>
              <w:bottom w:w="15" w:type="dxa"/>
              <w:right w:w="0" w:type="dxa"/>
            </w:tcMar>
            <w:vAlign w:val="center"/>
          </w:tcPr>
          <w:p w14:paraId="1C765B0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7.81</w:t>
            </w:r>
          </w:p>
        </w:tc>
        <w:tc>
          <w:tcPr>
            <w:tcW w:w="0" w:type="auto"/>
            <w:tcBorders>
              <w:bottom w:val="single" w:sz="6" w:space="0" w:color="D8DDEA"/>
            </w:tcBorders>
            <w:shd w:val="clear" w:color="auto" w:fill="FAFAFA"/>
            <w:tcMar>
              <w:top w:w="15" w:type="dxa"/>
              <w:left w:w="0" w:type="dxa"/>
              <w:bottom w:w="15" w:type="dxa"/>
              <w:right w:w="0" w:type="dxa"/>
            </w:tcMar>
            <w:vAlign w:val="center"/>
          </w:tcPr>
          <w:p w14:paraId="038E945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37,452</w:t>
            </w:r>
          </w:p>
        </w:tc>
      </w:tr>
      <w:tr w:rsidR="00B16DFE" w14:paraId="78A2B713"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5428E86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2015-16</w:t>
            </w:r>
          </w:p>
        </w:tc>
        <w:tc>
          <w:tcPr>
            <w:tcW w:w="0" w:type="auto"/>
            <w:tcBorders>
              <w:bottom w:val="single" w:sz="6" w:space="0" w:color="D8DDEA"/>
            </w:tcBorders>
            <w:shd w:val="clear" w:color="auto" w:fill="FAFAFA"/>
            <w:tcMar>
              <w:top w:w="15" w:type="dxa"/>
              <w:left w:w="0" w:type="dxa"/>
              <w:bottom w:w="15" w:type="dxa"/>
              <w:right w:w="0" w:type="dxa"/>
            </w:tcMar>
            <w:vAlign w:val="center"/>
          </w:tcPr>
          <w:p w14:paraId="4068DFE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13.8</w:t>
            </w:r>
          </w:p>
        </w:tc>
        <w:tc>
          <w:tcPr>
            <w:tcW w:w="0" w:type="auto"/>
            <w:tcBorders>
              <w:bottom w:val="single" w:sz="6" w:space="0" w:color="D8DDEA"/>
            </w:tcBorders>
            <w:shd w:val="clear" w:color="auto" w:fill="FAFAFA"/>
            <w:tcMar>
              <w:top w:w="15" w:type="dxa"/>
              <w:left w:w="0" w:type="dxa"/>
              <w:bottom w:w="15" w:type="dxa"/>
              <w:right w:w="0" w:type="dxa"/>
            </w:tcMar>
            <w:vAlign w:val="center"/>
          </w:tcPr>
          <w:p w14:paraId="12639AD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238A4E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21A96C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558</w:t>
            </w:r>
          </w:p>
        </w:tc>
        <w:tc>
          <w:tcPr>
            <w:tcW w:w="0" w:type="auto"/>
            <w:tcBorders>
              <w:bottom w:val="single" w:sz="6" w:space="0" w:color="D8DDEA"/>
            </w:tcBorders>
            <w:shd w:val="clear" w:color="auto" w:fill="FAFAFA"/>
            <w:tcMar>
              <w:top w:w="15" w:type="dxa"/>
              <w:left w:w="0" w:type="dxa"/>
              <w:bottom w:w="15" w:type="dxa"/>
              <w:right w:w="0" w:type="dxa"/>
            </w:tcMar>
            <w:vAlign w:val="center"/>
          </w:tcPr>
          <w:p w14:paraId="7117CD0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6.98</w:t>
            </w:r>
          </w:p>
        </w:tc>
        <w:tc>
          <w:tcPr>
            <w:tcW w:w="0" w:type="auto"/>
            <w:tcBorders>
              <w:bottom w:val="single" w:sz="6" w:space="0" w:color="D8DDEA"/>
            </w:tcBorders>
            <w:shd w:val="clear" w:color="auto" w:fill="FAFAFA"/>
            <w:tcMar>
              <w:top w:w="15" w:type="dxa"/>
              <w:left w:w="0" w:type="dxa"/>
              <w:bottom w:w="15" w:type="dxa"/>
              <w:right w:w="0" w:type="dxa"/>
            </w:tcMar>
            <w:vAlign w:val="center"/>
          </w:tcPr>
          <w:p w14:paraId="392152D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7.75</w:t>
            </w:r>
          </w:p>
        </w:tc>
        <w:tc>
          <w:tcPr>
            <w:tcW w:w="0" w:type="auto"/>
            <w:tcBorders>
              <w:bottom w:val="single" w:sz="6" w:space="0" w:color="D8DDEA"/>
            </w:tcBorders>
            <w:shd w:val="clear" w:color="auto" w:fill="FAFAFA"/>
            <w:tcMar>
              <w:top w:w="15" w:type="dxa"/>
              <w:left w:w="0" w:type="dxa"/>
              <w:bottom w:w="15" w:type="dxa"/>
              <w:right w:w="0" w:type="dxa"/>
            </w:tcMar>
            <w:vAlign w:val="center"/>
          </w:tcPr>
          <w:p w14:paraId="4E74F9DF"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38,959</w:t>
            </w:r>
          </w:p>
        </w:tc>
      </w:tr>
      <w:tr w:rsidR="00B16DFE" w14:paraId="3A15A374"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155656A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2016-17</w:t>
            </w:r>
          </w:p>
        </w:tc>
        <w:tc>
          <w:tcPr>
            <w:tcW w:w="0" w:type="auto"/>
            <w:tcBorders>
              <w:bottom w:val="single" w:sz="6" w:space="0" w:color="D8DDEA"/>
            </w:tcBorders>
            <w:shd w:val="clear" w:color="auto" w:fill="FAFAFA"/>
            <w:tcMar>
              <w:top w:w="15" w:type="dxa"/>
              <w:left w:w="0" w:type="dxa"/>
              <w:bottom w:w="15" w:type="dxa"/>
              <w:right w:w="0" w:type="dxa"/>
            </w:tcMar>
            <w:vAlign w:val="center"/>
          </w:tcPr>
          <w:p w14:paraId="2C471D2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14.2</w:t>
            </w:r>
          </w:p>
        </w:tc>
        <w:tc>
          <w:tcPr>
            <w:tcW w:w="0" w:type="auto"/>
            <w:tcBorders>
              <w:bottom w:val="single" w:sz="6" w:space="0" w:color="D8DDEA"/>
            </w:tcBorders>
            <w:shd w:val="clear" w:color="auto" w:fill="FAFAFA"/>
            <w:tcMar>
              <w:top w:w="15" w:type="dxa"/>
              <w:left w:w="0" w:type="dxa"/>
              <w:bottom w:w="15" w:type="dxa"/>
              <w:right w:w="0" w:type="dxa"/>
            </w:tcMar>
            <w:vAlign w:val="center"/>
          </w:tcPr>
          <w:p w14:paraId="3F36753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73C08E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452EC07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568</w:t>
            </w:r>
          </w:p>
        </w:tc>
        <w:tc>
          <w:tcPr>
            <w:tcW w:w="0" w:type="auto"/>
            <w:tcBorders>
              <w:bottom w:val="single" w:sz="6" w:space="0" w:color="D8DDEA"/>
            </w:tcBorders>
            <w:shd w:val="clear" w:color="auto" w:fill="FAFAFA"/>
            <w:tcMar>
              <w:top w:w="15" w:type="dxa"/>
              <w:left w:w="0" w:type="dxa"/>
              <w:bottom w:w="15" w:type="dxa"/>
              <w:right w:w="0" w:type="dxa"/>
            </w:tcMar>
            <w:vAlign w:val="center"/>
          </w:tcPr>
          <w:p w14:paraId="2D9B603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6.99</w:t>
            </w:r>
          </w:p>
        </w:tc>
        <w:tc>
          <w:tcPr>
            <w:tcW w:w="0" w:type="auto"/>
            <w:tcBorders>
              <w:bottom w:val="single" w:sz="6" w:space="0" w:color="D8DDEA"/>
            </w:tcBorders>
            <w:shd w:val="clear" w:color="auto" w:fill="FAFAFA"/>
            <w:tcMar>
              <w:top w:w="15" w:type="dxa"/>
              <w:left w:w="0" w:type="dxa"/>
              <w:bottom w:w="15" w:type="dxa"/>
              <w:right w:w="0" w:type="dxa"/>
            </w:tcMar>
            <w:vAlign w:val="center"/>
          </w:tcPr>
          <w:p w14:paraId="3CC5F70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7.61</w:t>
            </w:r>
          </w:p>
        </w:tc>
        <w:tc>
          <w:tcPr>
            <w:tcW w:w="0" w:type="auto"/>
            <w:tcBorders>
              <w:bottom w:val="single" w:sz="6" w:space="0" w:color="D8DDEA"/>
            </w:tcBorders>
            <w:shd w:val="clear" w:color="auto" w:fill="FAFAFA"/>
            <w:tcMar>
              <w:top w:w="15" w:type="dxa"/>
              <w:left w:w="0" w:type="dxa"/>
              <w:bottom w:w="15" w:type="dxa"/>
              <w:right w:w="0" w:type="dxa"/>
            </w:tcMar>
            <w:vAlign w:val="center"/>
          </w:tcPr>
          <w:p w14:paraId="11A3202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39,725</w:t>
            </w:r>
          </w:p>
        </w:tc>
      </w:tr>
      <w:tr w:rsidR="00B16DFE" w14:paraId="6F1AA84B"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6B2C7BD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2017-18</w:t>
            </w:r>
          </w:p>
        </w:tc>
        <w:tc>
          <w:tcPr>
            <w:tcW w:w="0" w:type="auto"/>
            <w:tcBorders>
              <w:bottom w:val="single" w:sz="6" w:space="0" w:color="D8DDEA"/>
            </w:tcBorders>
            <w:shd w:val="clear" w:color="auto" w:fill="FAFAFA"/>
            <w:tcMar>
              <w:top w:w="15" w:type="dxa"/>
              <w:left w:w="0" w:type="dxa"/>
              <w:bottom w:w="15" w:type="dxa"/>
              <w:right w:w="0" w:type="dxa"/>
            </w:tcMar>
            <w:vAlign w:val="center"/>
          </w:tcPr>
          <w:p w14:paraId="2497099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13.6</w:t>
            </w:r>
          </w:p>
        </w:tc>
        <w:tc>
          <w:tcPr>
            <w:tcW w:w="0" w:type="auto"/>
            <w:tcBorders>
              <w:bottom w:val="single" w:sz="6" w:space="0" w:color="D8DDEA"/>
            </w:tcBorders>
            <w:shd w:val="clear" w:color="auto" w:fill="FAFAFA"/>
            <w:tcMar>
              <w:top w:w="15" w:type="dxa"/>
              <w:left w:w="0" w:type="dxa"/>
              <w:bottom w:w="15" w:type="dxa"/>
              <w:right w:w="0" w:type="dxa"/>
            </w:tcMar>
            <w:vAlign w:val="center"/>
          </w:tcPr>
          <w:p w14:paraId="5157F20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5ED8A6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4E4702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599</w:t>
            </w:r>
          </w:p>
        </w:tc>
        <w:tc>
          <w:tcPr>
            <w:tcW w:w="0" w:type="auto"/>
            <w:tcBorders>
              <w:bottom w:val="single" w:sz="6" w:space="0" w:color="D8DDEA"/>
            </w:tcBorders>
            <w:shd w:val="clear" w:color="auto" w:fill="FAFAFA"/>
            <w:tcMar>
              <w:top w:w="15" w:type="dxa"/>
              <w:left w:w="0" w:type="dxa"/>
              <w:bottom w:w="15" w:type="dxa"/>
              <w:right w:w="0" w:type="dxa"/>
            </w:tcMar>
            <w:vAlign w:val="center"/>
          </w:tcPr>
          <w:p w14:paraId="7AAF925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6.60</w:t>
            </w:r>
          </w:p>
        </w:tc>
        <w:tc>
          <w:tcPr>
            <w:tcW w:w="0" w:type="auto"/>
            <w:tcBorders>
              <w:bottom w:val="single" w:sz="6" w:space="0" w:color="D8DDEA"/>
            </w:tcBorders>
            <w:shd w:val="clear" w:color="auto" w:fill="FAFAFA"/>
            <w:tcMar>
              <w:top w:w="15" w:type="dxa"/>
              <w:left w:w="0" w:type="dxa"/>
              <w:bottom w:w="15" w:type="dxa"/>
              <w:right w:w="0" w:type="dxa"/>
            </w:tcMar>
            <w:vAlign w:val="center"/>
          </w:tcPr>
          <w:p w14:paraId="3C8DC4F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8.05</w:t>
            </w:r>
          </w:p>
        </w:tc>
        <w:tc>
          <w:tcPr>
            <w:tcW w:w="0" w:type="auto"/>
            <w:tcBorders>
              <w:bottom w:val="single" w:sz="6" w:space="0" w:color="D8DDEA"/>
            </w:tcBorders>
            <w:shd w:val="clear" w:color="auto" w:fill="FAFAFA"/>
            <w:tcMar>
              <w:top w:w="15" w:type="dxa"/>
              <w:left w:w="0" w:type="dxa"/>
              <w:bottom w:w="15" w:type="dxa"/>
              <w:right w:w="0" w:type="dxa"/>
            </w:tcMar>
            <w:vAlign w:val="center"/>
          </w:tcPr>
          <w:p w14:paraId="25CAC60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39,535</w:t>
            </w:r>
          </w:p>
        </w:tc>
      </w:tr>
      <w:tr w:rsidR="00B16DFE" w14:paraId="7903B995"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6CB72B3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2018-19</w:t>
            </w:r>
          </w:p>
        </w:tc>
        <w:tc>
          <w:tcPr>
            <w:tcW w:w="0" w:type="auto"/>
            <w:tcBorders>
              <w:bottom w:val="single" w:sz="6" w:space="0" w:color="D8DDEA"/>
            </w:tcBorders>
            <w:shd w:val="clear" w:color="auto" w:fill="FAFAFA"/>
            <w:tcMar>
              <w:top w:w="15" w:type="dxa"/>
              <w:left w:w="0" w:type="dxa"/>
              <w:bottom w:w="15" w:type="dxa"/>
              <w:right w:w="0" w:type="dxa"/>
            </w:tcMar>
            <w:vAlign w:val="center"/>
          </w:tcPr>
          <w:p w14:paraId="4A020BC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4B8B156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1C011A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30718D8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584</w:t>
            </w:r>
          </w:p>
        </w:tc>
        <w:tc>
          <w:tcPr>
            <w:tcW w:w="0" w:type="auto"/>
            <w:tcBorders>
              <w:bottom w:val="single" w:sz="6" w:space="0" w:color="D8DDEA"/>
            </w:tcBorders>
            <w:shd w:val="clear" w:color="auto" w:fill="FAFAFA"/>
            <w:tcMar>
              <w:top w:w="15" w:type="dxa"/>
              <w:left w:w="0" w:type="dxa"/>
              <w:bottom w:w="15" w:type="dxa"/>
              <w:right w:w="0" w:type="dxa"/>
            </w:tcMar>
            <w:vAlign w:val="center"/>
          </w:tcPr>
          <w:p w14:paraId="0F4F62C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6.62</w:t>
            </w:r>
          </w:p>
        </w:tc>
        <w:tc>
          <w:tcPr>
            <w:tcW w:w="0" w:type="auto"/>
            <w:tcBorders>
              <w:bottom w:val="single" w:sz="6" w:space="0" w:color="D8DDEA"/>
            </w:tcBorders>
            <w:shd w:val="clear" w:color="auto" w:fill="FAFAFA"/>
            <w:tcMar>
              <w:top w:w="15" w:type="dxa"/>
              <w:left w:w="0" w:type="dxa"/>
              <w:bottom w:w="15" w:type="dxa"/>
              <w:right w:w="0" w:type="dxa"/>
            </w:tcMar>
            <w:vAlign w:val="center"/>
          </w:tcPr>
          <w:p w14:paraId="738DA4B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8.11</w:t>
            </w:r>
          </w:p>
        </w:tc>
        <w:tc>
          <w:tcPr>
            <w:tcW w:w="0" w:type="auto"/>
            <w:tcBorders>
              <w:bottom w:val="single" w:sz="6" w:space="0" w:color="D8DDEA"/>
            </w:tcBorders>
            <w:shd w:val="clear" w:color="auto" w:fill="FAFAFA"/>
            <w:tcMar>
              <w:top w:w="15" w:type="dxa"/>
              <w:left w:w="0" w:type="dxa"/>
              <w:bottom w:w="15" w:type="dxa"/>
              <w:right w:w="0" w:type="dxa"/>
            </w:tcMar>
            <w:vAlign w:val="center"/>
          </w:tcPr>
          <w:p w14:paraId="1BF3F4D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38,634</w:t>
            </w:r>
          </w:p>
        </w:tc>
      </w:tr>
      <w:tr w:rsidR="00B16DFE" w14:paraId="31607B6C"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1EF38A2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2019-20</w:t>
            </w:r>
          </w:p>
        </w:tc>
        <w:tc>
          <w:tcPr>
            <w:tcW w:w="0" w:type="auto"/>
            <w:tcBorders>
              <w:bottom w:val="single" w:sz="6" w:space="0" w:color="D8DDEA"/>
            </w:tcBorders>
            <w:shd w:val="clear" w:color="auto" w:fill="FAFAFA"/>
            <w:tcMar>
              <w:top w:w="15" w:type="dxa"/>
              <w:left w:w="0" w:type="dxa"/>
              <w:bottom w:w="15" w:type="dxa"/>
              <w:right w:w="0" w:type="dxa"/>
            </w:tcMar>
            <w:vAlign w:val="center"/>
          </w:tcPr>
          <w:p w14:paraId="0007F24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12.2</w:t>
            </w:r>
          </w:p>
        </w:tc>
        <w:tc>
          <w:tcPr>
            <w:tcW w:w="0" w:type="auto"/>
            <w:tcBorders>
              <w:bottom w:val="single" w:sz="6" w:space="0" w:color="D8DDEA"/>
            </w:tcBorders>
            <w:shd w:val="clear" w:color="auto" w:fill="FAFAFA"/>
            <w:tcMar>
              <w:top w:w="15" w:type="dxa"/>
              <w:left w:w="0" w:type="dxa"/>
              <w:bottom w:w="15" w:type="dxa"/>
              <w:right w:w="0" w:type="dxa"/>
            </w:tcMar>
            <w:vAlign w:val="center"/>
          </w:tcPr>
          <w:p w14:paraId="4BE66E2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621C984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E0A8F3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581</w:t>
            </w:r>
          </w:p>
        </w:tc>
        <w:tc>
          <w:tcPr>
            <w:tcW w:w="0" w:type="auto"/>
            <w:tcBorders>
              <w:bottom w:val="single" w:sz="6" w:space="0" w:color="D8DDEA"/>
            </w:tcBorders>
            <w:shd w:val="clear" w:color="auto" w:fill="FAFAFA"/>
            <w:tcMar>
              <w:top w:w="15" w:type="dxa"/>
              <w:left w:w="0" w:type="dxa"/>
              <w:bottom w:w="15" w:type="dxa"/>
              <w:right w:w="0" w:type="dxa"/>
            </w:tcMar>
            <w:vAlign w:val="center"/>
          </w:tcPr>
          <w:p w14:paraId="76243BD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6.58</w:t>
            </w:r>
          </w:p>
        </w:tc>
        <w:tc>
          <w:tcPr>
            <w:tcW w:w="0" w:type="auto"/>
            <w:tcBorders>
              <w:bottom w:val="single" w:sz="6" w:space="0" w:color="D8DDEA"/>
            </w:tcBorders>
            <w:shd w:val="clear" w:color="auto" w:fill="FAFAFA"/>
            <w:tcMar>
              <w:top w:w="15" w:type="dxa"/>
              <w:left w:w="0" w:type="dxa"/>
              <w:bottom w:w="15" w:type="dxa"/>
              <w:right w:w="0" w:type="dxa"/>
            </w:tcMar>
            <w:vAlign w:val="center"/>
          </w:tcPr>
          <w:p w14:paraId="6719913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7.98</w:t>
            </w:r>
          </w:p>
        </w:tc>
        <w:tc>
          <w:tcPr>
            <w:tcW w:w="0" w:type="auto"/>
            <w:tcBorders>
              <w:bottom w:val="single" w:sz="6" w:space="0" w:color="D8DDEA"/>
            </w:tcBorders>
            <w:shd w:val="clear" w:color="auto" w:fill="FAFAFA"/>
            <w:tcMar>
              <w:top w:w="15" w:type="dxa"/>
              <w:left w:w="0" w:type="dxa"/>
              <w:bottom w:w="15" w:type="dxa"/>
              <w:right w:w="0" w:type="dxa"/>
            </w:tcMar>
            <w:vAlign w:val="center"/>
          </w:tcPr>
          <w:p w14:paraId="5AE57FB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38,255</w:t>
            </w:r>
          </w:p>
        </w:tc>
      </w:tr>
      <w:tr w:rsidR="00B16DFE" w14:paraId="2F84C87E" w14:textId="77777777">
        <w:trPr>
          <w:tblCellSpacing w:w="0" w:type="dxa"/>
        </w:trPr>
        <w:tc>
          <w:tcPr>
            <w:tcW w:w="0" w:type="auto"/>
            <w:tcBorders>
              <w:bottom w:val="single" w:sz="6" w:space="0" w:color="D8DDEA"/>
            </w:tcBorders>
            <w:shd w:val="clear" w:color="auto" w:fill="D8DDEA"/>
            <w:tcMar>
              <w:top w:w="15" w:type="dxa"/>
              <w:left w:w="0" w:type="dxa"/>
              <w:bottom w:w="15" w:type="dxa"/>
              <w:right w:w="0" w:type="dxa"/>
            </w:tcMar>
            <w:vAlign w:val="center"/>
          </w:tcPr>
          <w:p w14:paraId="5D6BBB1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2020-21</w:t>
            </w:r>
          </w:p>
        </w:tc>
        <w:tc>
          <w:tcPr>
            <w:tcW w:w="0" w:type="auto"/>
            <w:tcBorders>
              <w:bottom w:val="single" w:sz="6" w:space="0" w:color="D8DDEA"/>
            </w:tcBorders>
            <w:shd w:val="clear" w:color="auto" w:fill="D8DDEA"/>
            <w:tcMar>
              <w:top w:w="15" w:type="dxa"/>
              <w:left w:w="0" w:type="dxa"/>
              <w:bottom w:w="15" w:type="dxa"/>
              <w:right w:w="0" w:type="dxa"/>
            </w:tcMar>
            <w:vAlign w:val="center"/>
          </w:tcPr>
          <w:p w14:paraId="08F47D6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9.81</w:t>
            </w:r>
          </w:p>
        </w:tc>
        <w:tc>
          <w:tcPr>
            <w:tcW w:w="0" w:type="auto"/>
            <w:tcBorders>
              <w:bottom w:val="single" w:sz="6" w:space="0" w:color="D8DDEA"/>
            </w:tcBorders>
            <w:shd w:val="clear" w:color="auto" w:fill="D8DDEA"/>
            <w:tcMar>
              <w:top w:w="15" w:type="dxa"/>
              <w:left w:w="0" w:type="dxa"/>
              <w:bottom w:w="15" w:type="dxa"/>
              <w:right w:w="0" w:type="dxa"/>
            </w:tcMar>
            <w:vAlign w:val="center"/>
          </w:tcPr>
          <w:p w14:paraId="267BA66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D8DDEA"/>
            <w:tcMar>
              <w:top w:w="15" w:type="dxa"/>
              <w:left w:w="0" w:type="dxa"/>
              <w:bottom w:w="15" w:type="dxa"/>
              <w:right w:w="0" w:type="dxa"/>
            </w:tcMar>
            <w:vAlign w:val="center"/>
          </w:tcPr>
          <w:p w14:paraId="70AC341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D8DDEA"/>
            <w:tcMar>
              <w:top w:w="15" w:type="dxa"/>
              <w:left w:w="0" w:type="dxa"/>
              <w:bottom w:w="15" w:type="dxa"/>
              <w:right w:w="0" w:type="dxa"/>
            </w:tcMar>
            <w:vAlign w:val="center"/>
          </w:tcPr>
          <w:p w14:paraId="1956E1F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524</w:t>
            </w:r>
          </w:p>
        </w:tc>
        <w:tc>
          <w:tcPr>
            <w:tcW w:w="0" w:type="auto"/>
            <w:tcBorders>
              <w:bottom w:val="single" w:sz="6" w:space="0" w:color="D8DDEA"/>
            </w:tcBorders>
            <w:shd w:val="clear" w:color="auto" w:fill="D8DDEA"/>
            <w:tcMar>
              <w:top w:w="15" w:type="dxa"/>
              <w:left w:w="0" w:type="dxa"/>
              <w:bottom w:w="15" w:type="dxa"/>
              <w:right w:w="0" w:type="dxa"/>
            </w:tcMar>
            <w:vAlign w:val="center"/>
          </w:tcPr>
          <w:p w14:paraId="3527C6E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6.81</w:t>
            </w:r>
          </w:p>
        </w:tc>
        <w:tc>
          <w:tcPr>
            <w:tcW w:w="0" w:type="auto"/>
            <w:tcBorders>
              <w:bottom w:val="single" w:sz="6" w:space="0" w:color="D8DDEA"/>
            </w:tcBorders>
            <w:shd w:val="clear" w:color="auto" w:fill="D8DDEA"/>
            <w:tcMar>
              <w:top w:w="15" w:type="dxa"/>
              <w:left w:w="0" w:type="dxa"/>
              <w:bottom w:w="15" w:type="dxa"/>
              <w:right w:w="0" w:type="dxa"/>
            </w:tcMar>
            <w:vAlign w:val="center"/>
          </w:tcPr>
          <w:p w14:paraId="52075826"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7.52</w:t>
            </w:r>
          </w:p>
        </w:tc>
        <w:tc>
          <w:tcPr>
            <w:tcW w:w="0" w:type="auto"/>
            <w:tcBorders>
              <w:bottom w:val="single" w:sz="6" w:space="0" w:color="D8DDEA"/>
            </w:tcBorders>
            <w:shd w:val="clear" w:color="auto" w:fill="D8DDEA"/>
            <w:tcMar>
              <w:top w:w="15" w:type="dxa"/>
              <w:left w:w="0" w:type="dxa"/>
              <w:bottom w:w="15" w:type="dxa"/>
              <w:right w:w="0" w:type="dxa"/>
            </w:tcMar>
            <w:vAlign w:val="center"/>
          </w:tcPr>
          <w:p w14:paraId="7ECD92C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35,678</w:t>
            </w:r>
          </w:p>
        </w:tc>
      </w:tr>
      <w:tr w:rsidR="00B16DFE" w14:paraId="7E6023C0"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140C485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2021-22</w:t>
            </w:r>
          </w:p>
        </w:tc>
        <w:tc>
          <w:tcPr>
            <w:tcW w:w="0" w:type="auto"/>
            <w:tcBorders>
              <w:bottom w:val="single" w:sz="6" w:space="0" w:color="D8DDEA"/>
            </w:tcBorders>
            <w:shd w:val="clear" w:color="auto" w:fill="FAFAFA"/>
            <w:tcMar>
              <w:top w:w="15" w:type="dxa"/>
              <w:left w:w="0" w:type="dxa"/>
              <w:bottom w:w="15" w:type="dxa"/>
              <w:right w:w="0" w:type="dxa"/>
            </w:tcMar>
            <w:vAlign w:val="center"/>
          </w:tcPr>
          <w:p w14:paraId="363FFEC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9.96</w:t>
            </w:r>
          </w:p>
        </w:tc>
        <w:tc>
          <w:tcPr>
            <w:tcW w:w="0" w:type="auto"/>
            <w:tcBorders>
              <w:bottom w:val="single" w:sz="6" w:space="0" w:color="D8DDEA"/>
            </w:tcBorders>
            <w:shd w:val="clear" w:color="auto" w:fill="FAFAFA"/>
            <w:tcMar>
              <w:top w:w="15" w:type="dxa"/>
              <w:left w:w="0" w:type="dxa"/>
              <w:bottom w:w="15" w:type="dxa"/>
              <w:right w:w="0" w:type="dxa"/>
            </w:tcMar>
            <w:vAlign w:val="center"/>
          </w:tcPr>
          <w:p w14:paraId="501E1BF1"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2E22CBD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7F3929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554</w:t>
            </w:r>
          </w:p>
        </w:tc>
        <w:tc>
          <w:tcPr>
            <w:tcW w:w="0" w:type="auto"/>
            <w:tcBorders>
              <w:bottom w:val="single" w:sz="6" w:space="0" w:color="D8DDEA"/>
            </w:tcBorders>
            <w:shd w:val="clear" w:color="auto" w:fill="FAFAFA"/>
            <w:tcMar>
              <w:top w:w="15" w:type="dxa"/>
              <w:left w:w="0" w:type="dxa"/>
              <w:bottom w:w="15" w:type="dxa"/>
              <w:right w:w="0" w:type="dxa"/>
            </w:tcMar>
            <w:vAlign w:val="center"/>
          </w:tcPr>
          <w:p w14:paraId="264A576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6.66</w:t>
            </w:r>
          </w:p>
        </w:tc>
        <w:tc>
          <w:tcPr>
            <w:tcW w:w="0" w:type="auto"/>
            <w:tcBorders>
              <w:bottom w:val="single" w:sz="6" w:space="0" w:color="D8DDEA"/>
            </w:tcBorders>
            <w:shd w:val="clear" w:color="auto" w:fill="FAFAFA"/>
            <w:tcMar>
              <w:top w:w="15" w:type="dxa"/>
              <w:left w:w="0" w:type="dxa"/>
              <w:bottom w:w="15" w:type="dxa"/>
              <w:right w:w="0" w:type="dxa"/>
            </w:tcMar>
            <w:vAlign w:val="center"/>
          </w:tcPr>
          <w:p w14:paraId="0D081A5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7.93</w:t>
            </w:r>
          </w:p>
        </w:tc>
        <w:tc>
          <w:tcPr>
            <w:tcW w:w="0" w:type="auto"/>
            <w:tcBorders>
              <w:bottom w:val="single" w:sz="6" w:space="0" w:color="D8DDEA"/>
            </w:tcBorders>
            <w:shd w:val="clear" w:color="auto" w:fill="FAFAFA"/>
            <w:tcMar>
              <w:top w:w="15" w:type="dxa"/>
              <w:left w:w="0" w:type="dxa"/>
              <w:bottom w:w="15" w:type="dxa"/>
              <w:right w:w="0" w:type="dxa"/>
            </w:tcMar>
            <w:vAlign w:val="center"/>
          </w:tcPr>
          <w:p w14:paraId="0AE7EC4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36,928</w:t>
            </w:r>
          </w:p>
        </w:tc>
      </w:tr>
      <w:tr w:rsidR="00B16DFE" w14:paraId="0AFF4D9F"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4948734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2022-23</w:t>
            </w:r>
          </w:p>
        </w:tc>
        <w:tc>
          <w:tcPr>
            <w:tcW w:w="0" w:type="auto"/>
            <w:tcBorders>
              <w:bottom w:val="single" w:sz="6" w:space="0" w:color="D8DDEA"/>
            </w:tcBorders>
            <w:shd w:val="clear" w:color="auto" w:fill="FAFAFA"/>
            <w:tcMar>
              <w:top w:w="15" w:type="dxa"/>
              <w:left w:w="0" w:type="dxa"/>
              <w:bottom w:w="15" w:type="dxa"/>
              <w:right w:w="0" w:type="dxa"/>
            </w:tcMar>
            <w:vAlign w:val="center"/>
          </w:tcPr>
          <w:p w14:paraId="7B7B9F2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12.5</w:t>
            </w:r>
          </w:p>
        </w:tc>
        <w:tc>
          <w:tcPr>
            <w:tcW w:w="0" w:type="auto"/>
            <w:tcBorders>
              <w:bottom w:val="single" w:sz="6" w:space="0" w:color="D8DDEA"/>
            </w:tcBorders>
            <w:shd w:val="clear" w:color="auto" w:fill="FAFAFA"/>
            <w:tcMar>
              <w:top w:w="15" w:type="dxa"/>
              <w:left w:w="0" w:type="dxa"/>
              <w:bottom w:w="15" w:type="dxa"/>
              <w:right w:w="0" w:type="dxa"/>
            </w:tcMar>
            <w:vAlign w:val="center"/>
          </w:tcPr>
          <w:p w14:paraId="5095304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066AB625"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46DA577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566</w:t>
            </w:r>
          </w:p>
        </w:tc>
        <w:tc>
          <w:tcPr>
            <w:tcW w:w="0" w:type="auto"/>
            <w:tcBorders>
              <w:bottom w:val="single" w:sz="6" w:space="0" w:color="D8DDEA"/>
            </w:tcBorders>
            <w:shd w:val="clear" w:color="auto" w:fill="FAFAFA"/>
            <w:tcMar>
              <w:top w:w="15" w:type="dxa"/>
              <w:left w:w="0" w:type="dxa"/>
              <w:bottom w:w="15" w:type="dxa"/>
              <w:right w:w="0" w:type="dxa"/>
            </w:tcMar>
            <w:vAlign w:val="center"/>
          </w:tcPr>
          <w:p w14:paraId="41599E7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6.61</w:t>
            </w:r>
          </w:p>
        </w:tc>
        <w:tc>
          <w:tcPr>
            <w:tcW w:w="0" w:type="auto"/>
            <w:tcBorders>
              <w:bottom w:val="single" w:sz="6" w:space="0" w:color="D8DDEA"/>
            </w:tcBorders>
            <w:shd w:val="clear" w:color="auto" w:fill="FAFAFA"/>
            <w:tcMar>
              <w:top w:w="15" w:type="dxa"/>
              <w:left w:w="0" w:type="dxa"/>
              <w:bottom w:w="15" w:type="dxa"/>
              <w:right w:w="0" w:type="dxa"/>
            </w:tcMar>
            <w:vAlign w:val="center"/>
          </w:tcPr>
          <w:p w14:paraId="2621CE5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7.97</w:t>
            </w:r>
          </w:p>
        </w:tc>
        <w:tc>
          <w:tcPr>
            <w:tcW w:w="0" w:type="auto"/>
            <w:tcBorders>
              <w:bottom w:val="single" w:sz="6" w:space="0" w:color="D8DDEA"/>
            </w:tcBorders>
            <w:shd w:val="clear" w:color="auto" w:fill="FAFAFA"/>
            <w:tcMar>
              <w:top w:w="15" w:type="dxa"/>
              <w:left w:w="0" w:type="dxa"/>
              <w:bottom w:w="15" w:type="dxa"/>
              <w:right w:w="0" w:type="dxa"/>
            </w:tcMar>
            <w:vAlign w:val="center"/>
          </w:tcPr>
          <w:p w14:paraId="79F6C56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37,386</w:t>
            </w:r>
          </w:p>
        </w:tc>
      </w:tr>
      <w:tr w:rsidR="00B16DFE" w14:paraId="3FB06D5E"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7F517A8A"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2023-24</w:t>
            </w:r>
          </w:p>
        </w:tc>
        <w:tc>
          <w:tcPr>
            <w:tcW w:w="0" w:type="auto"/>
            <w:tcBorders>
              <w:bottom w:val="single" w:sz="6" w:space="0" w:color="D8DDEA"/>
            </w:tcBorders>
            <w:shd w:val="clear" w:color="auto" w:fill="FAFAFA"/>
            <w:tcMar>
              <w:top w:w="15" w:type="dxa"/>
              <w:left w:w="0" w:type="dxa"/>
              <w:bottom w:w="15" w:type="dxa"/>
              <w:right w:w="0" w:type="dxa"/>
            </w:tcMar>
            <w:vAlign w:val="center"/>
          </w:tcPr>
          <w:p w14:paraId="73D6FFA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13.1</w:t>
            </w:r>
          </w:p>
        </w:tc>
        <w:tc>
          <w:tcPr>
            <w:tcW w:w="0" w:type="auto"/>
            <w:tcBorders>
              <w:bottom w:val="single" w:sz="6" w:space="0" w:color="D8DDEA"/>
            </w:tcBorders>
            <w:shd w:val="clear" w:color="auto" w:fill="FAFAFA"/>
            <w:tcMar>
              <w:top w:w="15" w:type="dxa"/>
              <w:left w:w="0" w:type="dxa"/>
              <w:bottom w:w="15" w:type="dxa"/>
              <w:right w:w="0" w:type="dxa"/>
            </w:tcMar>
            <w:vAlign w:val="center"/>
          </w:tcPr>
          <w:p w14:paraId="1A1AD63B"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299553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1F664F1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576</w:t>
            </w:r>
          </w:p>
        </w:tc>
        <w:tc>
          <w:tcPr>
            <w:tcW w:w="0" w:type="auto"/>
            <w:tcBorders>
              <w:bottom w:val="single" w:sz="6" w:space="0" w:color="D8DDEA"/>
            </w:tcBorders>
            <w:shd w:val="clear" w:color="auto" w:fill="FAFAFA"/>
            <w:tcMar>
              <w:top w:w="15" w:type="dxa"/>
              <w:left w:w="0" w:type="dxa"/>
              <w:bottom w:w="15" w:type="dxa"/>
              <w:right w:w="0" w:type="dxa"/>
            </w:tcMar>
            <w:vAlign w:val="center"/>
          </w:tcPr>
          <w:p w14:paraId="32F5A6E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6.56</w:t>
            </w:r>
          </w:p>
        </w:tc>
        <w:tc>
          <w:tcPr>
            <w:tcW w:w="0" w:type="auto"/>
            <w:tcBorders>
              <w:bottom w:val="single" w:sz="6" w:space="0" w:color="D8DDEA"/>
            </w:tcBorders>
            <w:shd w:val="clear" w:color="auto" w:fill="FAFAFA"/>
            <w:tcMar>
              <w:top w:w="15" w:type="dxa"/>
              <w:left w:w="0" w:type="dxa"/>
              <w:bottom w:w="15" w:type="dxa"/>
              <w:right w:w="0" w:type="dxa"/>
            </w:tcMar>
            <w:vAlign w:val="center"/>
          </w:tcPr>
          <w:p w14:paraId="1510116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7.95</w:t>
            </w:r>
          </w:p>
        </w:tc>
        <w:tc>
          <w:tcPr>
            <w:tcW w:w="0" w:type="auto"/>
            <w:tcBorders>
              <w:bottom w:val="single" w:sz="6" w:space="0" w:color="D8DDEA"/>
            </w:tcBorders>
            <w:shd w:val="clear" w:color="auto" w:fill="FAFAFA"/>
            <w:tcMar>
              <w:top w:w="15" w:type="dxa"/>
              <w:left w:w="0" w:type="dxa"/>
              <w:bottom w:w="15" w:type="dxa"/>
              <w:right w:w="0" w:type="dxa"/>
            </w:tcMar>
            <w:vAlign w:val="center"/>
          </w:tcPr>
          <w:p w14:paraId="24788C70"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37,787</w:t>
            </w:r>
          </w:p>
        </w:tc>
      </w:tr>
      <w:tr w:rsidR="00B16DFE" w14:paraId="546E2148"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6E609054"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2024-25</w:t>
            </w:r>
          </w:p>
        </w:tc>
        <w:tc>
          <w:tcPr>
            <w:tcW w:w="0" w:type="auto"/>
            <w:tcBorders>
              <w:bottom w:val="single" w:sz="6" w:space="0" w:color="D8DDEA"/>
            </w:tcBorders>
            <w:shd w:val="clear" w:color="auto" w:fill="FAFAFA"/>
            <w:tcMar>
              <w:top w:w="15" w:type="dxa"/>
              <w:left w:w="0" w:type="dxa"/>
              <w:bottom w:w="15" w:type="dxa"/>
              <w:right w:w="0" w:type="dxa"/>
            </w:tcMar>
            <w:vAlign w:val="center"/>
          </w:tcPr>
          <w:p w14:paraId="098DD6E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13.2</w:t>
            </w:r>
          </w:p>
        </w:tc>
        <w:tc>
          <w:tcPr>
            <w:tcW w:w="0" w:type="auto"/>
            <w:tcBorders>
              <w:bottom w:val="single" w:sz="6" w:space="0" w:color="D8DDEA"/>
            </w:tcBorders>
            <w:shd w:val="clear" w:color="auto" w:fill="FAFAFA"/>
            <w:tcMar>
              <w:top w:w="15" w:type="dxa"/>
              <w:left w:w="0" w:type="dxa"/>
              <w:bottom w:w="15" w:type="dxa"/>
              <w:right w:w="0" w:type="dxa"/>
            </w:tcMar>
            <w:vAlign w:val="center"/>
          </w:tcPr>
          <w:p w14:paraId="217A6DC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0D3446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3F4626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583</w:t>
            </w:r>
          </w:p>
        </w:tc>
        <w:tc>
          <w:tcPr>
            <w:tcW w:w="0" w:type="auto"/>
            <w:tcBorders>
              <w:bottom w:val="single" w:sz="6" w:space="0" w:color="D8DDEA"/>
            </w:tcBorders>
            <w:shd w:val="clear" w:color="auto" w:fill="FAFAFA"/>
            <w:tcMar>
              <w:top w:w="15" w:type="dxa"/>
              <w:left w:w="0" w:type="dxa"/>
              <w:bottom w:w="15" w:type="dxa"/>
              <w:right w:w="0" w:type="dxa"/>
            </w:tcMar>
            <w:vAlign w:val="center"/>
          </w:tcPr>
          <w:p w14:paraId="01703023"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6.53</w:t>
            </w:r>
          </w:p>
        </w:tc>
        <w:tc>
          <w:tcPr>
            <w:tcW w:w="0" w:type="auto"/>
            <w:tcBorders>
              <w:bottom w:val="single" w:sz="6" w:space="0" w:color="D8DDEA"/>
            </w:tcBorders>
            <w:shd w:val="clear" w:color="auto" w:fill="FAFAFA"/>
            <w:tcMar>
              <w:top w:w="15" w:type="dxa"/>
              <w:left w:w="0" w:type="dxa"/>
              <w:bottom w:w="15" w:type="dxa"/>
              <w:right w:w="0" w:type="dxa"/>
            </w:tcMar>
            <w:vAlign w:val="center"/>
          </w:tcPr>
          <w:p w14:paraId="47F36809"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7.87</w:t>
            </w:r>
          </w:p>
        </w:tc>
        <w:tc>
          <w:tcPr>
            <w:tcW w:w="0" w:type="auto"/>
            <w:tcBorders>
              <w:bottom w:val="single" w:sz="6" w:space="0" w:color="D8DDEA"/>
            </w:tcBorders>
            <w:shd w:val="clear" w:color="auto" w:fill="FAFAFA"/>
            <w:tcMar>
              <w:top w:w="15" w:type="dxa"/>
              <w:left w:w="0" w:type="dxa"/>
              <w:bottom w:w="15" w:type="dxa"/>
              <w:right w:w="0" w:type="dxa"/>
            </w:tcMar>
            <w:vAlign w:val="center"/>
          </w:tcPr>
          <w:p w14:paraId="5FEAF96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38,079</w:t>
            </w:r>
          </w:p>
        </w:tc>
      </w:tr>
      <w:tr w:rsidR="00B16DFE" w14:paraId="3752CD03" w14:textId="77777777">
        <w:trPr>
          <w:tblCellSpacing w:w="0" w:type="dxa"/>
        </w:trPr>
        <w:tc>
          <w:tcPr>
            <w:tcW w:w="0" w:type="auto"/>
            <w:tcBorders>
              <w:bottom w:val="single" w:sz="6" w:space="0" w:color="D8DDEA"/>
            </w:tcBorders>
            <w:shd w:val="clear" w:color="auto" w:fill="FAFAFA"/>
            <w:tcMar>
              <w:top w:w="15" w:type="dxa"/>
              <w:left w:w="0" w:type="dxa"/>
              <w:bottom w:w="15" w:type="dxa"/>
              <w:right w:w="0" w:type="dxa"/>
            </w:tcMar>
            <w:vAlign w:val="center"/>
          </w:tcPr>
          <w:p w14:paraId="1FFFAA9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2025-26</w:t>
            </w:r>
          </w:p>
        </w:tc>
        <w:tc>
          <w:tcPr>
            <w:tcW w:w="0" w:type="auto"/>
            <w:tcBorders>
              <w:bottom w:val="single" w:sz="6" w:space="0" w:color="D8DDEA"/>
            </w:tcBorders>
            <w:shd w:val="clear" w:color="auto" w:fill="FAFAFA"/>
            <w:tcMar>
              <w:top w:w="15" w:type="dxa"/>
              <w:left w:w="0" w:type="dxa"/>
              <w:bottom w:w="15" w:type="dxa"/>
              <w:right w:w="0" w:type="dxa"/>
            </w:tcMar>
            <w:vAlign w:val="center"/>
          </w:tcPr>
          <w:p w14:paraId="2E4017C2"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13.7</w:t>
            </w:r>
          </w:p>
        </w:tc>
        <w:tc>
          <w:tcPr>
            <w:tcW w:w="0" w:type="auto"/>
            <w:tcBorders>
              <w:bottom w:val="single" w:sz="6" w:space="0" w:color="D8DDEA"/>
            </w:tcBorders>
            <w:shd w:val="clear" w:color="auto" w:fill="FAFAFA"/>
            <w:tcMar>
              <w:top w:w="15" w:type="dxa"/>
              <w:left w:w="0" w:type="dxa"/>
              <w:bottom w:w="15" w:type="dxa"/>
              <w:right w:w="0" w:type="dxa"/>
            </w:tcMar>
            <w:vAlign w:val="center"/>
          </w:tcPr>
          <w:p w14:paraId="6BDC2A17"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847B288"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N/A</w:t>
            </w:r>
          </w:p>
        </w:tc>
        <w:tc>
          <w:tcPr>
            <w:tcW w:w="0" w:type="auto"/>
            <w:tcBorders>
              <w:bottom w:val="single" w:sz="6" w:space="0" w:color="D8DDEA"/>
            </w:tcBorders>
            <w:shd w:val="clear" w:color="auto" w:fill="FAFAFA"/>
            <w:tcMar>
              <w:top w:w="15" w:type="dxa"/>
              <w:left w:w="0" w:type="dxa"/>
              <w:bottom w:w="15" w:type="dxa"/>
              <w:right w:w="0" w:type="dxa"/>
            </w:tcMar>
            <w:vAlign w:val="center"/>
          </w:tcPr>
          <w:p w14:paraId="7199071C"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586</w:t>
            </w:r>
          </w:p>
        </w:tc>
        <w:tc>
          <w:tcPr>
            <w:tcW w:w="0" w:type="auto"/>
            <w:tcBorders>
              <w:bottom w:val="single" w:sz="6" w:space="0" w:color="D8DDEA"/>
            </w:tcBorders>
            <w:shd w:val="clear" w:color="auto" w:fill="FAFAFA"/>
            <w:tcMar>
              <w:top w:w="15" w:type="dxa"/>
              <w:left w:w="0" w:type="dxa"/>
              <w:bottom w:w="15" w:type="dxa"/>
              <w:right w:w="0" w:type="dxa"/>
            </w:tcMar>
            <w:vAlign w:val="center"/>
          </w:tcPr>
          <w:p w14:paraId="16B2B92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6.52</w:t>
            </w:r>
          </w:p>
        </w:tc>
        <w:tc>
          <w:tcPr>
            <w:tcW w:w="0" w:type="auto"/>
            <w:tcBorders>
              <w:bottom w:val="single" w:sz="6" w:space="0" w:color="D8DDEA"/>
            </w:tcBorders>
            <w:shd w:val="clear" w:color="auto" w:fill="FAFAFA"/>
            <w:tcMar>
              <w:top w:w="15" w:type="dxa"/>
              <w:left w:w="0" w:type="dxa"/>
              <w:bottom w:w="15" w:type="dxa"/>
              <w:right w:w="0" w:type="dxa"/>
            </w:tcMar>
            <w:vAlign w:val="center"/>
          </w:tcPr>
          <w:p w14:paraId="6176E4DD"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7.85</w:t>
            </w:r>
          </w:p>
        </w:tc>
        <w:tc>
          <w:tcPr>
            <w:tcW w:w="0" w:type="auto"/>
            <w:tcBorders>
              <w:bottom w:val="single" w:sz="6" w:space="0" w:color="D8DDEA"/>
            </w:tcBorders>
            <w:shd w:val="clear" w:color="auto" w:fill="FAFAFA"/>
            <w:tcMar>
              <w:top w:w="15" w:type="dxa"/>
              <w:left w:w="0" w:type="dxa"/>
              <w:bottom w:w="15" w:type="dxa"/>
              <w:right w:w="0" w:type="dxa"/>
            </w:tcMar>
            <w:vAlign w:val="center"/>
          </w:tcPr>
          <w:p w14:paraId="2936D33E" w14:textId="77777777" w:rsidR="00B16DFE" w:rsidRDefault="009F0859">
            <w:pPr>
              <w:keepNext/>
              <w:keepLines/>
              <w:spacing w:after="0" w:line="165" w:lineRule="atLeast"/>
              <w:jc w:val="right"/>
              <w:rPr>
                <w:rFonts w:ascii="Arial" w:eastAsia="Arial" w:hAnsi="Arial" w:cs="Arial"/>
                <w:sz w:val="16"/>
                <w:szCs w:val="16"/>
              </w:rPr>
            </w:pPr>
            <w:r>
              <w:rPr>
                <w:rFonts w:ascii="Arial" w:eastAsia="Arial" w:hAnsi="Arial" w:cs="Arial"/>
                <w:sz w:val="14"/>
                <w:szCs w:val="14"/>
              </w:rPr>
              <w:t>38,192</w:t>
            </w:r>
          </w:p>
        </w:tc>
      </w:tr>
    </w:tbl>
    <w:p w14:paraId="7E8FBD9C" w14:textId="77777777" w:rsidR="00B16DFE" w:rsidRDefault="00B16DFE">
      <w:pPr>
        <w:sectPr w:rsidR="00B16DFE">
          <w:headerReference w:type="default" r:id="rId88"/>
          <w:footerReference w:type="default" r:id="rId89"/>
          <w:pgSz w:w="11907" w:h="16839" w:code="9"/>
          <w:pgMar w:top="640" w:right="640" w:bottom="640" w:left="640" w:header="0" w:footer="0" w:gutter="0"/>
          <w:cols w:space="708"/>
          <w:docGrid w:linePitch="360"/>
        </w:sectPr>
      </w:pPr>
    </w:p>
    <w:p w14:paraId="6B69FB7C" w14:textId="77777777" w:rsidR="00B16DFE" w:rsidRDefault="009F0859">
      <w:pPr>
        <w:pStyle w:val="Heading1"/>
        <w:spacing w:before="0" w:after="240" w:line="420" w:lineRule="atLeast"/>
        <w:rPr>
          <w:rFonts w:ascii="Arial" w:eastAsia="Arial" w:hAnsi="Arial" w:cs="Arial"/>
          <w:b w:val="0"/>
          <w:bCs w:val="0"/>
          <w:color w:val="333333"/>
          <w:sz w:val="36"/>
          <w:szCs w:val="36"/>
        </w:rPr>
      </w:pPr>
      <w:bookmarkStart w:id="39" w:name="_Toc40"/>
      <w:r>
        <w:rPr>
          <w:rFonts w:ascii="Arial" w:eastAsia="Arial" w:hAnsi="Arial" w:cs="Arial"/>
          <w:b w:val="0"/>
          <w:bCs w:val="0"/>
          <w:color w:val="333333"/>
          <w:sz w:val="36"/>
          <w:szCs w:val="36"/>
        </w:rPr>
        <w:lastRenderedPageBreak/>
        <w:t>Additional Resources</w:t>
      </w:r>
      <w:bookmarkEnd w:id="39"/>
    </w:p>
    <w:tbl>
      <w:tblPr>
        <w:tblW w:w="5000" w:type="pct"/>
        <w:tblBorders>
          <w:top w:val="nil"/>
          <w:left w:val="nil"/>
          <w:bottom w:val="nil"/>
          <w:right w:val="nil"/>
          <w:insideH w:val="nil"/>
          <w:insideV w:val="nil"/>
        </w:tblBorders>
        <w:tblLook w:val="04A0" w:firstRow="1" w:lastRow="0" w:firstColumn="1" w:lastColumn="0" w:noHBand="0" w:noVBand="1"/>
      </w:tblPr>
      <w:tblGrid>
        <w:gridCol w:w="10843"/>
      </w:tblGrid>
      <w:tr w:rsidR="00B16DFE" w14:paraId="5017201F" w14:textId="77777777">
        <w:tc>
          <w:tcPr>
            <w:tcW w:w="0" w:type="auto"/>
          </w:tcPr>
          <w:tbl>
            <w:tblPr>
              <w:tblW w:w="5000" w:type="pct"/>
              <w:tblBorders>
                <w:top w:val="nil"/>
                <w:left w:val="nil"/>
                <w:bottom w:val="nil"/>
                <w:right w:val="nil"/>
                <w:insideH w:val="nil"/>
                <w:insideV w:val="nil"/>
              </w:tblBorders>
              <w:tblLook w:val="04A0" w:firstRow="1" w:lastRow="0" w:firstColumn="1" w:lastColumn="0" w:noHBand="0" w:noVBand="1"/>
            </w:tblPr>
            <w:tblGrid>
              <w:gridCol w:w="2125"/>
              <w:gridCol w:w="8502"/>
            </w:tblGrid>
            <w:tr w:rsidR="00B16DFE" w14:paraId="4E97CF85" w14:textId="77777777">
              <w:tc>
                <w:tcPr>
                  <w:tcW w:w="1000" w:type="pct"/>
                </w:tcPr>
                <w:p w14:paraId="5BE1C0F3" w14:textId="77777777" w:rsidR="00B16DFE" w:rsidRDefault="009F0859">
                  <w:pPr>
                    <w:pStyle w:val="Heading2"/>
                    <w:spacing w:before="0" w:line="270" w:lineRule="atLeast"/>
                    <w:rPr>
                      <w:rFonts w:ascii="Arial" w:eastAsia="Arial" w:hAnsi="Arial" w:cs="Arial"/>
                      <w:color w:val="333333"/>
                      <w:spacing w:val="4"/>
                      <w:sz w:val="21"/>
                      <w:szCs w:val="21"/>
                    </w:rPr>
                  </w:pPr>
                  <w:bookmarkStart w:id="40" w:name="_Toc41"/>
                  <w:r>
                    <w:rPr>
                      <w:rFonts w:ascii="Arial" w:eastAsia="Arial" w:hAnsi="Arial" w:cs="Arial"/>
                      <w:color w:val="333333"/>
                      <w:spacing w:val="4"/>
                      <w:sz w:val="21"/>
                      <w:szCs w:val="21"/>
                    </w:rPr>
                    <w:t>Additional Resources</w:t>
                  </w:r>
                  <w:bookmarkEnd w:id="40"/>
                </w:p>
              </w:tc>
              <w:tc>
                <w:tcPr>
                  <w:tcW w:w="4000" w:type="pct"/>
                </w:tcPr>
                <w:p w14:paraId="7EB422AF"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Eye for Travel</w:t>
                  </w:r>
                  <w:r>
                    <w:br/>
                  </w:r>
                  <w:r>
                    <w:rPr>
                      <w:rFonts w:ascii="Arial" w:eastAsia="Arial" w:hAnsi="Arial" w:cs="Arial"/>
                      <w:sz w:val="16"/>
                      <w:szCs w:val="16"/>
                    </w:rPr>
                    <w:t>http://www.eyefortravel.com</w:t>
                  </w:r>
                </w:p>
                <w:p w14:paraId="5FA38FCE"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VisitBritain</w:t>
                  </w:r>
                  <w:r>
                    <w:br/>
                  </w:r>
                  <w:r>
                    <w:rPr>
                      <w:rFonts w:ascii="Arial" w:eastAsia="Arial" w:hAnsi="Arial" w:cs="Arial"/>
                      <w:sz w:val="16"/>
                      <w:szCs w:val="16"/>
                    </w:rPr>
                    <w:t>http://www.visitbritain.org</w:t>
                  </w:r>
                </w:p>
                <w:p w14:paraId="20D0B1F9" w14:textId="77777777" w:rsidR="00B16DFE" w:rsidRDefault="009F0859">
                  <w:pPr>
                    <w:spacing w:after="180" w:line="225" w:lineRule="atLeast"/>
                    <w:rPr>
                      <w:rFonts w:ascii="Arial" w:eastAsia="Arial" w:hAnsi="Arial" w:cs="Arial"/>
                      <w:sz w:val="16"/>
                      <w:szCs w:val="16"/>
                    </w:rPr>
                  </w:pPr>
                  <w:r>
                    <w:rPr>
                      <w:rFonts w:ascii="Arial" w:eastAsia="Arial" w:hAnsi="Arial" w:cs="Arial"/>
                      <w:sz w:val="16"/>
                      <w:szCs w:val="16"/>
                    </w:rPr>
                    <w:t>Travel Weekly</w:t>
                  </w:r>
                  <w:r>
                    <w:br/>
                  </w:r>
                  <w:r>
                    <w:rPr>
                      <w:rFonts w:ascii="Arial" w:eastAsia="Arial" w:hAnsi="Arial" w:cs="Arial"/>
                      <w:sz w:val="16"/>
                      <w:szCs w:val="16"/>
                    </w:rPr>
                    <w:t>http://www.travelweekly.co.uk</w:t>
                  </w:r>
                </w:p>
                <w:p w14:paraId="014852A9" w14:textId="77777777" w:rsidR="00B16DFE" w:rsidRDefault="009F0859">
                  <w:pPr>
                    <w:spacing w:after="120" w:line="225" w:lineRule="atLeast"/>
                    <w:rPr>
                      <w:rFonts w:ascii="Arial" w:eastAsia="Arial" w:hAnsi="Arial" w:cs="Arial"/>
                      <w:sz w:val="16"/>
                      <w:szCs w:val="16"/>
                    </w:rPr>
                  </w:pPr>
                  <w:r>
                    <w:rPr>
                      <w:rFonts w:ascii="Arial" w:eastAsia="Arial" w:hAnsi="Arial" w:cs="Arial"/>
                      <w:sz w:val="16"/>
                      <w:szCs w:val="16"/>
                    </w:rPr>
                    <w:t>Association of British Travel Agents</w:t>
                  </w:r>
                  <w:r>
                    <w:br/>
                  </w:r>
                  <w:r>
                    <w:rPr>
                      <w:rFonts w:ascii="Arial" w:eastAsia="Arial" w:hAnsi="Arial" w:cs="Arial"/>
                      <w:sz w:val="16"/>
                      <w:szCs w:val="16"/>
                    </w:rPr>
                    <w:t>http://www.abta.com</w:t>
                  </w:r>
                </w:p>
              </w:tc>
            </w:tr>
          </w:tbl>
          <w:p w14:paraId="31010F04" w14:textId="77777777" w:rsidR="00B16DFE" w:rsidRDefault="009F0859">
            <w:pPr>
              <w:spacing w:after="0" w:line="225" w:lineRule="atLeast"/>
              <w:rPr>
                <w:rFonts w:ascii="Arial" w:eastAsia="Arial" w:hAnsi="Arial" w:cs="Arial"/>
                <w:sz w:val="16"/>
                <w:szCs w:val="16"/>
              </w:rPr>
            </w:pPr>
            <w:r>
              <w:br/>
            </w:r>
          </w:p>
          <w:tbl>
            <w:tblPr>
              <w:tblW w:w="5000" w:type="pct"/>
              <w:tblBorders>
                <w:top w:val="nil"/>
                <w:left w:val="nil"/>
                <w:bottom w:val="nil"/>
                <w:right w:val="nil"/>
                <w:insideH w:val="nil"/>
                <w:insideV w:val="nil"/>
              </w:tblBorders>
              <w:tblLook w:val="04A0" w:firstRow="1" w:lastRow="0" w:firstColumn="1" w:lastColumn="0" w:noHBand="0" w:noVBand="1"/>
            </w:tblPr>
            <w:tblGrid>
              <w:gridCol w:w="2125"/>
              <w:gridCol w:w="8502"/>
            </w:tblGrid>
            <w:tr w:rsidR="00B16DFE" w14:paraId="38E1D2B3" w14:textId="77777777">
              <w:tc>
                <w:tcPr>
                  <w:tcW w:w="1000" w:type="pct"/>
                </w:tcPr>
                <w:p w14:paraId="10A9C866" w14:textId="77777777" w:rsidR="00B16DFE" w:rsidRDefault="009F0859">
                  <w:pPr>
                    <w:pStyle w:val="Heading2"/>
                    <w:spacing w:before="0" w:line="270" w:lineRule="atLeast"/>
                    <w:rPr>
                      <w:rFonts w:ascii="Arial" w:eastAsia="Arial" w:hAnsi="Arial" w:cs="Arial"/>
                      <w:color w:val="333333"/>
                      <w:spacing w:val="4"/>
                      <w:sz w:val="21"/>
                      <w:szCs w:val="21"/>
                    </w:rPr>
                  </w:pPr>
                  <w:bookmarkStart w:id="41" w:name="_Toc42"/>
                  <w:r>
                    <w:rPr>
                      <w:rFonts w:ascii="Arial" w:eastAsia="Arial" w:hAnsi="Arial" w:cs="Arial"/>
                      <w:color w:val="333333"/>
                      <w:spacing w:val="4"/>
                      <w:sz w:val="21"/>
                      <w:szCs w:val="21"/>
                    </w:rPr>
                    <w:t>Industry Jargon</w:t>
                  </w:r>
                  <w:bookmarkEnd w:id="41"/>
                </w:p>
              </w:tc>
              <w:tc>
                <w:tcPr>
                  <w:tcW w:w="4000" w:type="pct"/>
                </w:tcPr>
                <w:p w14:paraId="5C79B084"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AMADEUS</w:t>
                  </w:r>
                  <w:r>
                    <w:br/>
                  </w:r>
                  <w:r>
                    <w:rPr>
                      <w:rFonts w:ascii="Arial" w:eastAsia="Arial" w:hAnsi="Arial" w:cs="Arial"/>
                      <w:sz w:val="16"/>
                      <w:szCs w:val="16"/>
                    </w:rPr>
                    <w:t>A global travel distribution system used by UK travel agents.</w:t>
                  </w:r>
                </w:p>
                <w:p w14:paraId="4375B263"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GLOBAL DISTRIBUTION SYSTEM</w:t>
                  </w:r>
                  <w:r>
                    <w:br/>
                  </w:r>
                  <w:r>
                    <w:rPr>
                      <w:rFonts w:ascii="Arial" w:eastAsia="Arial" w:hAnsi="Arial" w:cs="Arial"/>
                      <w:sz w:val="16"/>
                      <w:szCs w:val="16"/>
                    </w:rPr>
                    <w:t xml:space="preserve">A computerised reservation system used by travel agents to help them with information, bookings, </w:t>
                  </w:r>
                  <w:r>
                    <w:rPr>
                      <w:rFonts w:ascii="Arial" w:eastAsia="Arial" w:hAnsi="Arial" w:cs="Arial"/>
                      <w:sz w:val="16"/>
                      <w:szCs w:val="16"/>
                    </w:rPr>
                    <w:t>reservations and payments.</w:t>
                  </w:r>
                </w:p>
                <w:p w14:paraId="1549522A" w14:textId="77777777" w:rsidR="00B16DFE" w:rsidRDefault="009F0859">
                  <w:pPr>
                    <w:spacing w:after="120" w:line="240" w:lineRule="atLeast"/>
                    <w:rPr>
                      <w:rFonts w:ascii="Arial" w:eastAsia="Arial" w:hAnsi="Arial" w:cs="Arial"/>
                      <w:sz w:val="16"/>
                      <w:szCs w:val="16"/>
                    </w:rPr>
                  </w:pPr>
                  <w:r>
                    <w:rPr>
                      <w:rFonts w:ascii="Arial" w:eastAsia="Arial" w:hAnsi="Arial" w:cs="Arial"/>
                      <w:b/>
                      <w:bCs/>
                      <w:sz w:val="18"/>
                      <w:szCs w:val="18"/>
                    </w:rPr>
                    <w:t>STAYCATION</w:t>
                  </w:r>
                  <w:r>
                    <w:br/>
                  </w:r>
                  <w:r>
                    <w:rPr>
                      <w:rFonts w:ascii="Arial" w:eastAsia="Arial" w:hAnsi="Arial" w:cs="Arial"/>
                      <w:sz w:val="16"/>
                      <w:szCs w:val="16"/>
                    </w:rPr>
                    <w:t>A vacation spent in one's home country rather than abroad, or one spent at home and involving day trips to local attractions.</w:t>
                  </w:r>
                </w:p>
              </w:tc>
            </w:tr>
          </w:tbl>
          <w:p w14:paraId="4A5CF4C5" w14:textId="77777777" w:rsidR="00B16DFE" w:rsidRDefault="009F0859">
            <w:pPr>
              <w:spacing w:after="0" w:line="225" w:lineRule="atLeast"/>
              <w:rPr>
                <w:rFonts w:ascii="Arial" w:eastAsia="Arial" w:hAnsi="Arial" w:cs="Arial"/>
                <w:sz w:val="16"/>
                <w:szCs w:val="16"/>
              </w:rPr>
            </w:pPr>
            <w:r>
              <w:br/>
            </w:r>
          </w:p>
          <w:tbl>
            <w:tblPr>
              <w:tblW w:w="5000" w:type="pct"/>
              <w:tblBorders>
                <w:top w:val="nil"/>
                <w:left w:val="nil"/>
                <w:bottom w:val="nil"/>
                <w:right w:val="nil"/>
                <w:insideH w:val="nil"/>
                <w:insideV w:val="nil"/>
              </w:tblBorders>
              <w:tblLook w:val="04A0" w:firstRow="1" w:lastRow="0" w:firstColumn="1" w:lastColumn="0" w:noHBand="0" w:noVBand="1"/>
            </w:tblPr>
            <w:tblGrid>
              <w:gridCol w:w="2125"/>
              <w:gridCol w:w="8502"/>
            </w:tblGrid>
            <w:tr w:rsidR="00B16DFE" w14:paraId="0DA8AEAE" w14:textId="77777777">
              <w:tc>
                <w:tcPr>
                  <w:tcW w:w="1000" w:type="pct"/>
                </w:tcPr>
                <w:p w14:paraId="6B26F7F0" w14:textId="77777777" w:rsidR="00B16DFE" w:rsidRDefault="009F0859">
                  <w:pPr>
                    <w:pStyle w:val="Heading2"/>
                    <w:spacing w:before="0" w:line="270" w:lineRule="atLeast"/>
                    <w:rPr>
                      <w:rFonts w:ascii="Arial" w:eastAsia="Arial" w:hAnsi="Arial" w:cs="Arial"/>
                      <w:color w:val="333333"/>
                      <w:spacing w:val="4"/>
                      <w:sz w:val="21"/>
                      <w:szCs w:val="21"/>
                    </w:rPr>
                  </w:pPr>
                  <w:bookmarkStart w:id="42" w:name="_Toc43"/>
                  <w:r>
                    <w:rPr>
                      <w:rFonts w:ascii="Arial" w:eastAsia="Arial" w:hAnsi="Arial" w:cs="Arial"/>
                      <w:color w:val="333333"/>
                      <w:spacing w:val="4"/>
                      <w:sz w:val="21"/>
                      <w:szCs w:val="21"/>
                    </w:rPr>
                    <w:t>Glossary</w:t>
                  </w:r>
                  <w:bookmarkEnd w:id="42"/>
                </w:p>
              </w:tc>
              <w:tc>
                <w:tcPr>
                  <w:tcW w:w="4000" w:type="pct"/>
                </w:tcPr>
                <w:p w14:paraId="5102B23D"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BARRIERS TO ENTRY</w:t>
                  </w:r>
                  <w:r>
                    <w:br/>
                  </w:r>
                  <w:r>
                    <w:rPr>
                      <w:rFonts w:ascii="Arial" w:eastAsia="Arial" w:hAnsi="Arial" w:cs="Arial"/>
                      <w:sz w:val="16"/>
                      <w:szCs w:val="16"/>
                    </w:rPr>
                    <w:t>High barriers to entry mean that new companies struggle to ent</w:t>
                  </w:r>
                  <w:r>
                    <w:rPr>
                      <w:rFonts w:ascii="Arial" w:eastAsia="Arial" w:hAnsi="Arial" w:cs="Arial"/>
                      <w:sz w:val="16"/>
                      <w:szCs w:val="16"/>
                    </w:rPr>
                    <w:t>er an industry, while low barriers mean it is easy for new companies to enter an industry.</w:t>
                  </w:r>
                </w:p>
                <w:p w14:paraId="6F7CB855"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CAPITAL INTENSITY</w:t>
                  </w:r>
                  <w:r>
                    <w:br/>
                  </w:r>
                  <w:r>
                    <w:rPr>
                      <w:rFonts w:ascii="Arial" w:eastAsia="Arial" w:hAnsi="Arial" w:cs="Arial"/>
                      <w:sz w:val="16"/>
                      <w:szCs w:val="16"/>
                    </w:rPr>
                    <w:t xml:space="preserve">Compares the amount of money spent on capital (plant, machinery and equipment) with that spent on labour. IBISWorld uses the ratio of depreciation </w:t>
                  </w:r>
                  <w:r>
                    <w:rPr>
                      <w:rFonts w:ascii="Arial" w:eastAsia="Arial" w:hAnsi="Arial" w:cs="Arial"/>
                      <w:sz w:val="16"/>
                      <w:szCs w:val="16"/>
                    </w:rPr>
                    <w:t>to wages as a proxy for capital intensity. High capital intensity is more than £0.333 of capital to £1 of labour; medium is £0.125 to £0.333 of capital to £1 of labour; low is less than £0.125 of capital for every £1 of labour.</w:t>
                  </w:r>
                </w:p>
                <w:p w14:paraId="1EB87D7B"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CONSTANT PRICES</w:t>
                  </w:r>
                  <w:r>
                    <w:br/>
                  </w:r>
                  <w:r>
                    <w:rPr>
                      <w:rFonts w:ascii="Arial" w:eastAsia="Arial" w:hAnsi="Arial" w:cs="Arial"/>
                      <w:sz w:val="16"/>
                      <w:szCs w:val="16"/>
                    </w:rPr>
                    <w:t>The pound fi</w:t>
                  </w:r>
                  <w:r>
                    <w:rPr>
                      <w:rFonts w:ascii="Arial" w:eastAsia="Arial" w:hAnsi="Arial" w:cs="Arial"/>
                      <w:sz w:val="16"/>
                      <w:szCs w:val="16"/>
                    </w:rPr>
                    <w:t>gures in the Key Statistics table, including forecasts, are adjusted for inflation using the current year (</w:t>
                  </w:r>
                  <w:proofErr w:type="gramStart"/>
                  <w:r>
                    <w:rPr>
                      <w:rFonts w:ascii="Arial" w:eastAsia="Arial" w:hAnsi="Arial" w:cs="Arial"/>
                      <w:sz w:val="16"/>
                      <w:szCs w:val="16"/>
                    </w:rPr>
                    <w:t>i.e.</w:t>
                  </w:r>
                  <w:proofErr w:type="gramEnd"/>
                  <w:r>
                    <w:rPr>
                      <w:rFonts w:ascii="Arial" w:eastAsia="Arial" w:hAnsi="Arial" w:cs="Arial"/>
                      <w:sz w:val="16"/>
                      <w:szCs w:val="16"/>
                    </w:rPr>
                    <w:t xml:space="preserve"> year published) as the base year. This removes the impact of changes in the purchasing power of the pound, leaving only the 'real' growth or dec</w:t>
                  </w:r>
                  <w:r>
                    <w:rPr>
                      <w:rFonts w:ascii="Arial" w:eastAsia="Arial" w:hAnsi="Arial" w:cs="Arial"/>
                      <w:sz w:val="16"/>
                      <w:szCs w:val="16"/>
                    </w:rPr>
                    <w:t>line in industry metrics. The inflation adjustments in IBISWorld’s reports are made using the Office for National Statistics' implicit GDP price deflator.</w:t>
                  </w:r>
                </w:p>
                <w:p w14:paraId="26B2A10A"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DOMESTIC DEMAND</w:t>
                  </w:r>
                  <w:r>
                    <w:br/>
                  </w:r>
                  <w:r>
                    <w:rPr>
                      <w:rFonts w:ascii="Arial" w:eastAsia="Arial" w:hAnsi="Arial" w:cs="Arial"/>
                      <w:sz w:val="16"/>
                      <w:szCs w:val="16"/>
                    </w:rPr>
                    <w:t>Spending on industry goods and services within the UK, regardless of their country of</w:t>
                  </w:r>
                  <w:r>
                    <w:rPr>
                      <w:rFonts w:ascii="Arial" w:eastAsia="Arial" w:hAnsi="Arial" w:cs="Arial"/>
                      <w:sz w:val="16"/>
                      <w:szCs w:val="16"/>
                    </w:rPr>
                    <w:t xml:space="preserve"> origin. It is derived by adding imports to industry revenue, and then subtracting exports.</w:t>
                  </w:r>
                </w:p>
                <w:p w14:paraId="2DD8CFCE"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EMPLOYMENT</w:t>
                  </w:r>
                  <w:r>
                    <w:br/>
                  </w:r>
                  <w:r>
                    <w:rPr>
                      <w:rFonts w:ascii="Arial" w:eastAsia="Arial" w:hAnsi="Arial" w:cs="Arial"/>
                      <w:sz w:val="16"/>
                      <w:szCs w:val="16"/>
                    </w:rPr>
                    <w:t>The number of permanent, part-time, temporary and casual employees, working proprietors, partners, managers and executives within the industry.</w:t>
                  </w:r>
                </w:p>
                <w:p w14:paraId="71A8DD23"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ENTERPRISE</w:t>
                  </w:r>
                  <w:r>
                    <w:br/>
                  </w:r>
                  <w:r>
                    <w:rPr>
                      <w:rFonts w:ascii="Arial" w:eastAsia="Arial" w:hAnsi="Arial" w:cs="Arial"/>
                      <w:sz w:val="16"/>
                      <w:szCs w:val="16"/>
                    </w:rPr>
                    <w:t>A division that is separately managed and keeps management accounts. Each enterprise consists of one or more establishments that are under common ownership or control.</w:t>
                  </w:r>
                </w:p>
                <w:p w14:paraId="7638769B"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ESTABLISHMENT</w:t>
                  </w:r>
                  <w:r>
                    <w:br/>
                  </w:r>
                  <w:r>
                    <w:rPr>
                      <w:rFonts w:ascii="Arial" w:eastAsia="Arial" w:hAnsi="Arial" w:cs="Arial"/>
                      <w:sz w:val="16"/>
                      <w:szCs w:val="16"/>
                    </w:rPr>
                    <w:t>The smallest type of accounting unit within an enterprise, an e</w:t>
                  </w:r>
                  <w:r>
                    <w:rPr>
                      <w:rFonts w:ascii="Arial" w:eastAsia="Arial" w:hAnsi="Arial" w:cs="Arial"/>
                      <w:sz w:val="16"/>
                      <w:szCs w:val="16"/>
                    </w:rPr>
                    <w:t>stablishment is a single physical location where business is conducted or where services or industrial operations are performed. Multiple establishments under common control make up an enterprise.</w:t>
                  </w:r>
                </w:p>
                <w:p w14:paraId="6F2B11EA"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EXPORTS</w:t>
                  </w:r>
                  <w:r>
                    <w:br/>
                  </w:r>
                  <w:r>
                    <w:rPr>
                      <w:rFonts w:ascii="Arial" w:eastAsia="Arial" w:hAnsi="Arial" w:cs="Arial"/>
                      <w:sz w:val="16"/>
                      <w:szCs w:val="16"/>
                    </w:rPr>
                    <w:t xml:space="preserve">Total value of industry goods and services sold by </w:t>
                  </w:r>
                  <w:r>
                    <w:rPr>
                      <w:rFonts w:ascii="Arial" w:eastAsia="Arial" w:hAnsi="Arial" w:cs="Arial"/>
                      <w:sz w:val="16"/>
                      <w:szCs w:val="16"/>
                    </w:rPr>
                    <w:t>UK companies to customers abroad.</w:t>
                  </w:r>
                </w:p>
                <w:p w14:paraId="625B36B7"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IMPORTS</w:t>
                  </w:r>
                  <w:r>
                    <w:br/>
                  </w:r>
                  <w:r>
                    <w:rPr>
                      <w:rFonts w:ascii="Arial" w:eastAsia="Arial" w:hAnsi="Arial" w:cs="Arial"/>
                      <w:sz w:val="16"/>
                      <w:szCs w:val="16"/>
                    </w:rPr>
                    <w:t>Total value of industry goods and services brought in from foreign countries to be sold in the UK.</w:t>
                  </w:r>
                </w:p>
                <w:p w14:paraId="604EFC4B"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lastRenderedPageBreak/>
                    <w:t>INDUSTRY CONCENTRATION</w:t>
                  </w:r>
                  <w:r>
                    <w:br/>
                  </w:r>
                  <w:r>
                    <w:rPr>
                      <w:rFonts w:ascii="Arial" w:eastAsia="Arial" w:hAnsi="Arial" w:cs="Arial"/>
                      <w:sz w:val="16"/>
                      <w:szCs w:val="16"/>
                    </w:rPr>
                    <w:t>An indicator of the dominance of the top four players in an industry. Concentration is consi</w:t>
                  </w:r>
                  <w:r>
                    <w:rPr>
                      <w:rFonts w:ascii="Arial" w:eastAsia="Arial" w:hAnsi="Arial" w:cs="Arial"/>
                      <w:sz w:val="16"/>
                      <w:szCs w:val="16"/>
                    </w:rPr>
                    <w:t>dered high if the top players account for more than 70% of industry revenue. Medium is 40% to 70% of industry revenue. Low is less than 40%.</w:t>
                  </w:r>
                </w:p>
                <w:p w14:paraId="5131C613"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INDUSTRY REVENUE</w:t>
                  </w:r>
                  <w:r>
                    <w:br/>
                  </w:r>
                  <w:r>
                    <w:rPr>
                      <w:rFonts w:ascii="Arial" w:eastAsia="Arial" w:hAnsi="Arial" w:cs="Arial"/>
                      <w:sz w:val="16"/>
                      <w:szCs w:val="16"/>
                    </w:rPr>
                    <w:t>The total sales of industry goods and services (exclusive of excise and sales tax); subsidies on p</w:t>
                  </w:r>
                  <w:r>
                    <w:rPr>
                      <w:rFonts w:ascii="Arial" w:eastAsia="Arial" w:hAnsi="Arial" w:cs="Arial"/>
                      <w:sz w:val="16"/>
                      <w:szCs w:val="16"/>
                    </w:rPr>
                    <w:t>roduction; all other operating income from outside the firm (such as commission income, repair and service income, and rent, leasing and hiring income); and capital work done by rental or lease. Receipts from interest royalties, dividends and the sale of f</w:t>
                  </w:r>
                  <w:r>
                    <w:rPr>
                      <w:rFonts w:ascii="Arial" w:eastAsia="Arial" w:hAnsi="Arial" w:cs="Arial"/>
                      <w:sz w:val="16"/>
                      <w:szCs w:val="16"/>
                    </w:rPr>
                    <w:t>ixed tangible assets are excluded.</w:t>
                  </w:r>
                </w:p>
                <w:p w14:paraId="7D88B844"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INDUSTRY VALUE ADDED (IVA)</w:t>
                  </w:r>
                  <w:r>
                    <w:br/>
                  </w:r>
                  <w:r>
                    <w:rPr>
                      <w:rFonts w:ascii="Arial" w:eastAsia="Arial" w:hAnsi="Arial" w:cs="Arial"/>
                      <w:sz w:val="16"/>
                      <w:szCs w:val="16"/>
                    </w:rPr>
                    <w:t xml:space="preserve">The market value of goods and services produced by the industry minus the cost of goods and services used in production. IVA is also described as the industry's contribution to GDP, or </w:t>
                  </w:r>
                  <w:r>
                    <w:rPr>
                      <w:rFonts w:ascii="Arial" w:eastAsia="Arial" w:hAnsi="Arial" w:cs="Arial"/>
                      <w:sz w:val="16"/>
                      <w:szCs w:val="16"/>
                    </w:rPr>
                    <w:t>profit plus wages and depreciation.</w:t>
                  </w:r>
                </w:p>
                <w:p w14:paraId="01120217"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INTERNATIONAL TRADE</w:t>
                  </w:r>
                  <w:r>
                    <w:br/>
                  </w:r>
                  <w:r>
                    <w:rPr>
                      <w:rFonts w:ascii="Arial" w:eastAsia="Arial" w:hAnsi="Arial" w:cs="Arial"/>
                      <w:sz w:val="16"/>
                      <w:szCs w:val="16"/>
                    </w:rPr>
                    <w:t>The level of international trade is determined by ratios of exports to revenue and imports to domestic demand. For exports/revenue: low is less than 5%; medium is 5% to 20%; and high is more than 20%.</w:t>
                  </w:r>
                  <w:r>
                    <w:rPr>
                      <w:rFonts w:ascii="Arial" w:eastAsia="Arial" w:hAnsi="Arial" w:cs="Arial"/>
                      <w:sz w:val="16"/>
                      <w:szCs w:val="16"/>
                    </w:rPr>
                    <w:t xml:space="preserve"> Imports/domestic demand: low is less than 5%; medium is 5% to 35%; and high is more than 35%.</w:t>
                  </w:r>
                </w:p>
                <w:p w14:paraId="2AE6E9B9"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LIFE CYCLE</w:t>
                  </w:r>
                  <w:r>
                    <w:br/>
                  </w:r>
                  <w:r>
                    <w:rPr>
                      <w:rFonts w:ascii="Arial" w:eastAsia="Arial" w:hAnsi="Arial" w:cs="Arial"/>
                      <w:sz w:val="16"/>
                      <w:szCs w:val="16"/>
                    </w:rPr>
                    <w:t>All industries go through periods of growth, maturity and decline. IBISWorld determines an industry's life cycle by considering its growth rate (measu</w:t>
                  </w:r>
                  <w:r>
                    <w:rPr>
                      <w:rFonts w:ascii="Arial" w:eastAsia="Arial" w:hAnsi="Arial" w:cs="Arial"/>
                      <w:sz w:val="16"/>
                      <w:szCs w:val="16"/>
                    </w:rPr>
                    <w:t>red by IVA) compared with GDP; the growth rate of the number of establishments; the amount of change the industry's products are undergoing; the rate of technological change; and the level of customer acceptance of industry products and services.</w:t>
                  </w:r>
                </w:p>
                <w:p w14:paraId="77A12EFA"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NONEMPLOY</w:t>
                  </w:r>
                  <w:r>
                    <w:rPr>
                      <w:rFonts w:ascii="Arial" w:eastAsia="Arial" w:hAnsi="Arial" w:cs="Arial"/>
                      <w:b/>
                      <w:bCs/>
                      <w:sz w:val="18"/>
                      <w:szCs w:val="18"/>
                    </w:rPr>
                    <w:t>ING ESTABLISHMENT</w:t>
                  </w:r>
                  <w:r>
                    <w:br/>
                  </w:r>
                  <w:r>
                    <w:rPr>
                      <w:rFonts w:ascii="Arial" w:eastAsia="Arial" w:hAnsi="Arial" w:cs="Arial"/>
                      <w:sz w:val="16"/>
                      <w:szCs w:val="16"/>
                    </w:rPr>
                    <w:t xml:space="preserve">Businesses with no paid employment or payroll, also known as </w:t>
                  </w:r>
                  <w:proofErr w:type="spellStart"/>
                  <w:r>
                    <w:rPr>
                      <w:rFonts w:ascii="Arial" w:eastAsia="Arial" w:hAnsi="Arial" w:cs="Arial"/>
                      <w:sz w:val="16"/>
                      <w:szCs w:val="16"/>
                    </w:rPr>
                    <w:t>nonemployers</w:t>
                  </w:r>
                  <w:proofErr w:type="spellEnd"/>
                  <w:r>
                    <w:rPr>
                      <w:rFonts w:ascii="Arial" w:eastAsia="Arial" w:hAnsi="Arial" w:cs="Arial"/>
                      <w:sz w:val="16"/>
                      <w:szCs w:val="16"/>
                    </w:rPr>
                    <w:t>. These are mostly set up by self-employed individuals.</w:t>
                  </w:r>
                </w:p>
                <w:p w14:paraId="7D94312D"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PROFIT</w:t>
                  </w:r>
                  <w:r>
                    <w:br/>
                  </w:r>
                  <w:r>
                    <w:rPr>
                      <w:rFonts w:ascii="Arial" w:eastAsia="Arial" w:hAnsi="Arial" w:cs="Arial"/>
                      <w:sz w:val="16"/>
                      <w:szCs w:val="16"/>
                    </w:rPr>
                    <w:t>IBISWorld uses earnings before interest and tax (EBIT) as an indicator of a company’s profitability. I</w:t>
                  </w:r>
                  <w:r>
                    <w:rPr>
                      <w:rFonts w:ascii="Arial" w:eastAsia="Arial" w:hAnsi="Arial" w:cs="Arial"/>
                      <w:sz w:val="16"/>
                      <w:szCs w:val="16"/>
                    </w:rPr>
                    <w:t>t is calculated as revenue minus expenses, excluding interest and tax.</w:t>
                  </w:r>
                </w:p>
                <w:p w14:paraId="392F99C9" w14:textId="77777777" w:rsidR="00B16DFE" w:rsidRDefault="009F0859">
                  <w:pPr>
                    <w:spacing w:after="180" w:line="240" w:lineRule="atLeast"/>
                    <w:rPr>
                      <w:rFonts w:ascii="Arial" w:eastAsia="Arial" w:hAnsi="Arial" w:cs="Arial"/>
                      <w:sz w:val="16"/>
                      <w:szCs w:val="16"/>
                    </w:rPr>
                  </w:pPr>
                  <w:r>
                    <w:rPr>
                      <w:rFonts w:ascii="Arial" w:eastAsia="Arial" w:hAnsi="Arial" w:cs="Arial"/>
                      <w:b/>
                      <w:bCs/>
                      <w:sz w:val="18"/>
                      <w:szCs w:val="18"/>
                    </w:rPr>
                    <w:t>VOLATILITY</w:t>
                  </w:r>
                  <w:r>
                    <w:br/>
                  </w:r>
                  <w:r>
                    <w:rPr>
                      <w:rFonts w:ascii="Arial" w:eastAsia="Arial" w:hAnsi="Arial" w:cs="Arial"/>
                      <w:sz w:val="16"/>
                      <w:szCs w:val="16"/>
                    </w:rPr>
                    <w:t xml:space="preserve">The level of volatility is determined by averaging the absolute change in revenue in each of the past five years. Volatility levels: </w:t>
                  </w:r>
                  <w:proofErr w:type="gramStart"/>
                  <w:r>
                    <w:rPr>
                      <w:rFonts w:ascii="Arial" w:eastAsia="Arial" w:hAnsi="Arial" w:cs="Arial"/>
                      <w:sz w:val="16"/>
                      <w:szCs w:val="16"/>
                    </w:rPr>
                    <w:t>very high</w:t>
                  </w:r>
                  <w:proofErr w:type="gramEnd"/>
                  <w:r>
                    <w:rPr>
                      <w:rFonts w:ascii="Arial" w:eastAsia="Arial" w:hAnsi="Arial" w:cs="Arial"/>
                      <w:sz w:val="16"/>
                      <w:szCs w:val="16"/>
                    </w:rPr>
                    <w:t xml:space="preserve"> is more than ±20%; high volatil</w:t>
                  </w:r>
                  <w:r>
                    <w:rPr>
                      <w:rFonts w:ascii="Arial" w:eastAsia="Arial" w:hAnsi="Arial" w:cs="Arial"/>
                      <w:sz w:val="16"/>
                      <w:szCs w:val="16"/>
                    </w:rPr>
                    <w:t>ity is ±10% to ±20%; moderate volatility is ±3% to ±10%; and low volatility is less than ±3%.</w:t>
                  </w:r>
                </w:p>
                <w:p w14:paraId="722B9965" w14:textId="77777777" w:rsidR="00B16DFE" w:rsidRDefault="009F0859">
                  <w:pPr>
                    <w:spacing w:after="120" w:line="240" w:lineRule="atLeast"/>
                    <w:rPr>
                      <w:rFonts w:ascii="Arial" w:eastAsia="Arial" w:hAnsi="Arial" w:cs="Arial"/>
                      <w:sz w:val="16"/>
                      <w:szCs w:val="16"/>
                    </w:rPr>
                  </w:pPr>
                  <w:r>
                    <w:rPr>
                      <w:rFonts w:ascii="Arial" w:eastAsia="Arial" w:hAnsi="Arial" w:cs="Arial"/>
                      <w:b/>
                      <w:bCs/>
                      <w:sz w:val="18"/>
                      <w:szCs w:val="18"/>
                    </w:rPr>
                    <w:t>WAGES</w:t>
                  </w:r>
                  <w:r>
                    <w:br/>
                  </w:r>
                  <w:r>
                    <w:rPr>
                      <w:rFonts w:ascii="Arial" w:eastAsia="Arial" w:hAnsi="Arial" w:cs="Arial"/>
                      <w:sz w:val="16"/>
                      <w:szCs w:val="16"/>
                    </w:rPr>
                    <w:t>The gross total wages and salaries of all employees in the industry. The cost of benefits is also included in this figure</w:t>
                  </w:r>
                </w:p>
              </w:tc>
            </w:tr>
          </w:tbl>
          <w:p w14:paraId="1B420DC6" w14:textId="77777777" w:rsidR="00B16DFE" w:rsidRDefault="00B16DFE"/>
        </w:tc>
      </w:tr>
    </w:tbl>
    <w:p w14:paraId="22383222" w14:textId="77777777" w:rsidR="00B16DFE" w:rsidRDefault="00B16DFE">
      <w:pPr>
        <w:sectPr w:rsidR="00B16DFE">
          <w:headerReference w:type="default" r:id="rId90"/>
          <w:footerReference w:type="default" r:id="rId91"/>
          <w:pgSz w:w="11907" w:h="16839" w:code="9"/>
          <w:pgMar w:top="640" w:right="640" w:bottom="640" w:left="640" w:header="0" w:footer="0" w:gutter="0"/>
          <w:cols w:space="708"/>
          <w:docGrid w:linePitch="360"/>
        </w:sectPr>
      </w:pPr>
    </w:p>
    <w:tbl>
      <w:tblPr>
        <w:tblW w:w="0" w:type="auto"/>
        <w:tblCellSpacing w:w="30" w:type="dxa"/>
        <w:tblBorders>
          <w:top w:val="nil"/>
          <w:left w:val="nil"/>
          <w:bottom w:val="nil"/>
          <w:right w:val="nil"/>
          <w:insideH w:val="nil"/>
          <w:insideV w:val="nil"/>
        </w:tblBorders>
        <w:tblLook w:val="04A0" w:firstRow="1" w:lastRow="0" w:firstColumn="1" w:lastColumn="0" w:noHBand="0" w:noVBand="1"/>
      </w:tblPr>
      <w:tblGrid>
        <w:gridCol w:w="10963"/>
      </w:tblGrid>
      <w:tr w:rsidR="00B16DFE" w14:paraId="431E3A84" w14:textId="77777777">
        <w:trPr>
          <w:tblCellSpacing w:w="30" w:type="dxa"/>
        </w:trPr>
        <w:tc>
          <w:tcPr>
            <w:tcW w:w="0" w:type="auto"/>
            <w:vAlign w:val="center"/>
          </w:tcPr>
          <w:p w14:paraId="60E81944" w14:textId="77777777" w:rsidR="00B16DFE" w:rsidRDefault="009F0859">
            <w:pPr>
              <w:spacing w:after="0" w:line="240" w:lineRule="atLeast"/>
              <w:rPr>
                <w:rFonts w:ascii="Arial" w:eastAsia="Arial" w:hAnsi="Arial" w:cs="Arial"/>
                <w:sz w:val="21"/>
                <w:szCs w:val="21"/>
              </w:rPr>
            </w:pPr>
            <w:r>
              <w:rPr>
                <w:noProof/>
              </w:rPr>
              <w:lastRenderedPageBreak/>
              <w:drawing>
                <wp:inline distT="0" distB="0" distL="0" distR="0" wp14:anchorId="3F897EEC" wp14:editId="18D6FDE0">
                  <wp:extent cx="1943100" cy="714375"/>
                  <wp:effectExtent l="0" t="0" r="0" b="0"/>
                  <wp:docPr id="155" name="Picture 155" descr="IBISWorld Logo"/>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7" cstate="print"/>
                          <a:stretch>
                            <a:fillRect/>
                          </a:stretch>
                        </pic:blipFill>
                        <pic:spPr>
                          <a:xfrm>
                            <a:off x="0" y="0"/>
                            <a:ext cx="1943100" cy="714375"/>
                          </a:xfrm>
                          <a:prstGeom prst="rect">
                            <a:avLst/>
                          </a:prstGeom>
                        </pic:spPr>
                      </pic:pic>
                    </a:graphicData>
                  </a:graphic>
                </wp:inline>
              </w:drawing>
            </w:r>
          </w:p>
        </w:tc>
      </w:tr>
      <w:tr w:rsidR="00B16DFE" w14:paraId="187ED8A7" w14:textId="77777777">
        <w:trPr>
          <w:tblCellSpacing w:w="30" w:type="dxa"/>
        </w:trPr>
        <w:tc>
          <w:tcPr>
            <w:tcW w:w="0" w:type="auto"/>
            <w:vAlign w:val="center"/>
          </w:tcPr>
          <w:p w14:paraId="79B7BA9C" w14:textId="77777777" w:rsidR="00B16DFE" w:rsidRDefault="00B16DFE">
            <w:pPr>
              <w:spacing w:after="0" w:line="240" w:lineRule="atLeast"/>
              <w:rPr>
                <w:rFonts w:ascii="Arial" w:eastAsia="Arial" w:hAnsi="Arial" w:cs="Arial"/>
                <w:sz w:val="21"/>
                <w:szCs w:val="21"/>
              </w:rPr>
            </w:pPr>
          </w:p>
        </w:tc>
      </w:tr>
      <w:tr w:rsidR="00B16DFE" w14:paraId="1BAEB8E4" w14:textId="77777777">
        <w:trPr>
          <w:tblCellSpacing w:w="30" w:type="dxa"/>
        </w:trPr>
        <w:tc>
          <w:tcPr>
            <w:tcW w:w="0" w:type="auto"/>
            <w:tcMar>
              <w:top w:w="0" w:type="dxa"/>
              <w:left w:w="0" w:type="dxa"/>
              <w:bottom w:w="120" w:type="dxa"/>
              <w:right w:w="0" w:type="dxa"/>
            </w:tcMar>
            <w:vAlign w:val="center"/>
          </w:tcPr>
          <w:p w14:paraId="554A3A63" w14:textId="77777777" w:rsidR="00B16DFE" w:rsidRDefault="009F0859">
            <w:pPr>
              <w:spacing w:after="0" w:line="360" w:lineRule="atLeast"/>
              <w:rPr>
                <w:rFonts w:ascii="Arial" w:eastAsia="Arial" w:hAnsi="Arial" w:cs="Arial"/>
                <w:sz w:val="21"/>
                <w:szCs w:val="21"/>
              </w:rPr>
            </w:pPr>
            <w:r>
              <w:rPr>
                <w:rFonts w:ascii="Arial" w:eastAsia="Arial" w:hAnsi="Arial" w:cs="Arial"/>
                <w:b/>
                <w:bCs/>
                <w:color w:val="FFFFFF"/>
                <w:spacing w:val="-8"/>
                <w:sz w:val="54"/>
                <w:szCs w:val="54"/>
              </w:rPr>
              <w:t>IBISWorld helps you find the industry information you need – fast.</w:t>
            </w:r>
          </w:p>
        </w:tc>
      </w:tr>
      <w:tr w:rsidR="00B16DFE" w14:paraId="731694A0" w14:textId="77777777">
        <w:trPr>
          <w:tblCellSpacing w:w="30" w:type="dxa"/>
        </w:trPr>
        <w:tc>
          <w:tcPr>
            <w:tcW w:w="0" w:type="auto"/>
            <w:vAlign w:val="center"/>
          </w:tcPr>
          <w:p w14:paraId="18F7BCE6" w14:textId="77777777" w:rsidR="00B16DFE" w:rsidRDefault="009F0859">
            <w:pPr>
              <w:spacing w:after="0" w:line="240" w:lineRule="atLeast"/>
              <w:rPr>
                <w:rFonts w:ascii="Arial" w:eastAsia="Arial" w:hAnsi="Arial" w:cs="Arial"/>
                <w:sz w:val="21"/>
                <w:szCs w:val="21"/>
              </w:rPr>
            </w:pPr>
            <w:r>
              <w:rPr>
                <w:noProof/>
              </w:rPr>
              <w:drawing>
                <wp:inline distT="0" distB="0" distL="0" distR="0" wp14:anchorId="0AD6418F" wp14:editId="589DD3DA">
                  <wp:extent cx="952500" cy="38100"/>
                  <wp:effectExtent l="0" t="0" r="0" b="0"/>
                  <wp:docPr id="157" name="Picture 157" descr="Divider"/>
                  <wp:cNvGraphicFramePr/>
                  <a:graphic xmlns:a="http://schemas.openxmlformats.org/drawingml/2006/main">
                    <a:graphicData uri="http://schemas.openxmlformats.org/drawingml/2006/picture">
                      <pic:pic xmlns:pic="http://schemas.openxmlformats.org/drawingml/2006/picture">
                        <pic:nvPicPr>
                          <pic:cNvPr id="158" name="Picture 158"/>
                          <pic:cNvPicPr/>
                        </pic:nvPicPr>
                        <pic:blipFill>
                          <a:blip r:embed="rId9" cstate="print"/>
                          <a:stretch>
                            <a:fillRect/>
                          </a:stretch>
                        </pic:blipFill>
                        <pic:spPr>
                          <a:xfrm>
                            <a:off x="0" y="0"/>
                            <a:ext cx="952500" cy="38100"/>
                          </a:xfrm>
                          <a:prstGeom prst="rect">
                            <a:avLst/>
                          </a:prstGeom>
                        </pic:spPr>
                      </pic:pic>
                    </a:graphicData>
                  </a:graphic>
                </wp:inline>
              </w:drawing>
            </w:r>
          </w:p>
        </w:tc>
      </w:tr>
      <w:tr w:rsidR="00B16DFE" w14:paraId="65F64D0A" w14:textId="77777777">
        <w:trPr>
          <w:tblCellSpacing w:w="30" w:type="dxa"/>
        </w:trPr>
        <w:tc>
          <w:tcPr>
            <w:tcW w:w="0" w:type="auto"/>
            <w:vAlign w:val="center"/>
          </w:tcPr>
          <w:p w14:paraId="4450AC7F" w14:textId="77777777" w:rsidR="00B16DFE" w:rsidRDefault="00B16DFE">
            <w:pPr>
              <w:spacing w:after="0" w:line="240" w:lineRule="atLeast"/>
              <w:rPr>
                <w:rFonts w:ascii="Arial" w:eastAsia="Arial" w:hAnsi="Arial" w:cs="Arial"/>
                <w:sz w:val="21"/>
                <w:szCs w:val="21"/>
              </w:rPr>
            </w:pPr>
          </w:p>
        </w:tc>
      </w:tr>
      <w:tr w:rsidR="00B16DFE" w14:paraId="6D026CDF" w14:textId="77777777">
        <w:trPr>
          <w:trHeight w:val="7500"/>
          <w:tblCellSpacing w:w="30" w:type="dxa"/>
        </w:trPr>
        <w:tc>
          <w:tcPr>
            <w:tcW w:w="0" w:type="auto"/>
          </w:tcPr>
          <w:p w14:paraId="34F66EB9" w14:textId="77777777" w:rsidR="00B16DFE" w:rsidRDefault="009F0859">
            <w:pPr>
              <w:spacing w:after="0" w:line="300" w:lineRule="atLeast"/>
              <w:rPr>
                <w:rFonts w:ascii="Arial" w:eastAsia="Arial" w:hAnsi="Arial" w:cs="Arial"/>
                <w:sz w:val="21"/>
                <w:szCs w:val="21"/>
              </w:rPr>
            </w:pPr>
            <w:r>
              <w:rPr>
                <w:rFonts w:ascii="Arial" w:eastAsia="Arial" w:hAnsi="Arial" w:cs="Arial"/>
                <w:color w:val="FFFFFF"/>
                <w:sz w:val="24"/>
                <w:szCs w:val="24"/>
              </w:rPr>
              <w:t xml:space="preserve">With our trusted research covering thousands of global industries, </w:t>
            </w:r>
            <w:proofErr w:type="gramStart"/>
            <w:r>
              <w:rPr>
                <w:rFonts w:ascii="Arial" w:eastAsia="Arial" w:hAnsi="Arial" w:cs="Arial"/>
                <w:color w:val="FFFFFF"/>
                <w:sz w:val="24"/>
                <w:szCs w:val="24"/>
              </w:rPr>
              <w:t>you’ll</w:t>
            </w:r>
            <w:proofErr w:type="gramEnd"/>
            <w:r>
              <w:rPr>
                <w:rFonts w:ascii="Arial" w:eastAsia="Arial" w:hAnsi="Arial" w:cs="Arial"/>
                <w:color w:val="FFFFFF"/>
                <w:sz w:val="24"/>
                <w:szCs w:val="24"/>
              </w:rPr>
              <w:t xml:space="preserve"> get a quick and </w:t>
            </w:r>
            <w:r>
              <w:rPr>
                <w:rFonts w:ascii="Arial" w:eastAsia="Arial" w:hAnsi="Arial" w:cs="Arial"/>
                <w:color w:val="FFFFFF"/>
                <w:sz w:val="24"/>
                <w:szCs w:val="24"/>
              </w:rPr>
              <w:t xml:space="preserve">intelligent overview of any industry so you can get up to speed in minutes. In every report, </w:t>
            </w:r>
            <w:proofErr w:type="gramStart"/>
            <w:r>
              <w:rPr>
                <w:rFonts w:ascii="Arial" w:eastAsia="Arial" w:hAnsi="Arial" w:cs="Arial"/>
                <w:color w:val="FFFFFF"/>
                <w:sz w:val="24"/>
                <w:szCs w:val="24"/>
              </w:rPr>
              <w:t>you’ll</w:t>
            </w:r>
            <w:proofErr w:type="gramEnd"/>
            <w:r>
              <w:rPr>
                <w:rFonts w:ascii="Arial" w:eastAsia="Arial" w:hAnsi="Arial" w:cs="Arial"/>
                <w:color w:val="FFFFFF"/>
                <w:sz w:val="24"/>
                <w:szCs w:val="24"/>
              </w:rPr>
              <w:t xml:space="preserve"> find actionable insights, comprehensive data and in-depth analysis to help you make smarter, faster business decisions. If </w:t>
            </w:r>
            <w:proofErr w:type="gramStart"/>
            <w:r>
              <w:rPr>
                <w:rFonts w:ascii="Arial" w:eastAsia="Arial" w:hAnsi="Arial" w:cs="Arial"/>
                <w:color w:val="FFFFFF"/>
                <w:sz w:val="24"/>
                <w:szCs w:val="24"/>
              </w:rPr>
              <w:t>you’re</w:t>
            </w:r>
            <w:proofErr w:type="gramEnd"/>
            <w:r>
              <w:rPr>
                <w:rFonts w:ascii="Arial" w:eastAsia="Arial" w:hAnsi="Arial" w:cs="Arial"/>
                <w:color w:val="FFFFFF"/>
                <w:sz w:val="24"/>
                <w:szCs w:val="24"/>
              </w:rPr>
              <w:t xml:space="preserve"> not yet a member of IBISWo</w:t>
            </w:r>
            <w:r>
              <w:rPr>
                <w:rFonts w:ascii="Arial" w:eastAsia="Arial" w:hAnsi="Arial" w:cs="Arial"/>
                <w:color w:val="FFFFFF"/>
                <w:sz w:val="24"/>
                <w:szCs w:val="24"/>
              </w:rPr>
              <w:t>rld, contact us at 020 3008 6568 or info@ibisworld.co.uk to learn more.</w:t>
            </w:r>
          </w:p>
        </w:tc>
      </w:tr>
      <w:tr w:rsidR="00B16DFE" w14:paraId="07E800B4" w14:textId="77777777">
        <w:trPr>
          <w:tblCellSpacing w:w="30" w:type="dxa"/>
        </w:trPr>
        <w:tc>
          <w:tcPr>
            <w:tcW w:w="0" w:type="auto"/>
            <w:vAlign w:val="center"/>
          </w:tcPr>
          <w:p w14:paraId="111793A9" w14:textId="77777777" w:rsidR="00B16DFE" w:rsidRDefault="009F0859">
            <w:pPr>
              <w:spacing w:after="0" w:line="240" w:lineRule="atLeast"/>
              <w:rPr>
                <w:rFonts w:ascii="Arial" w:eastAsia="Arial" w:hAnsi="Arial" w:cs="Arial"/>
                <w:color w:val="FFFFFF"/>
                <w:sz w:val="21"/>
                <w:szCs w:val="21"/>
              </w:rPr>
            </w:pPr>
            <w:r>
              <w:rPr>
                <w:rFonts w:ascii="Arial" w:eastAsia="Arial" w:hAnsi="Arial" w:cs="Arial"/>
                <w:color w:val="FFFFFF"/>
                <w:sz w:val="21"/>
                <w:szCs w:val="21"/>
              </w:rPr>
              <w:t>DISCLAIMER</w:t>
            </w:r>
          </w:p>
          <w:p w14:paraId="50887C8E" w14:textId="77777777" w:rsidR="00B16DFE" w:rsidRDefault="009F0859">
            <w:pPr>
              <w:spacing w:after="0" w:line="240" w:lineRule="atLeast"/>
              <w:rPr>
                <w:rFonts w:ascii="Arial" w:eastAsia="Arial" w:hAnsi="Arial" w:cs="Arial"/>
                <w:color w:val="FFFFFF"/>
                <w:sz w:val="21"/>
                <w:szCs w:val="21"/>
              </w:rPr>
            </w:pPr>
            <w:r>
              <w:rPr>
                <w:rFonts w:ascii="Arial" w:eastAsia="Arial" w:hAnsi="Arial" w:cs="Arial"/>
                <w:color w:val="FFFFFF"/>
                <w:sz w:val="21"/>
                <w:szCs w:val="21"/>
              </w:rPr>
              <w:t>This product has been supplied by IBISWorld Ltd. (‘IBISWorld’) solely for use by its authorised licensees strictly in accordance with their licence agreements with IBISWorl</w:t>
            </w:r>
            <w:r>
              <w:rPr>
                <w:rFonts w:ascii="Arial" w:eastAsia="Arial" w:hAnsi="Arial" w:cs="Arial"/>
                <w:color w:val="FFFFFF"/>
                <w:sz w:val="21"/>
                <w:szCs w:val="21"/>
              </w:rPr>
              <w:t xml:space="preserve">d. IBISWorld makes no representation to any other person </w:t>
            </w:r>
            <w:proofErr w:type="gramStart"/>
            <w:r>
              <w:rPr>
                <w:rFonts w:ascii="Arial" w:eastAsia="Arial" w:hAnsi="Arial" w:cs="Arial"/>
                <w:color w:val="FFFFFF"/>
                <w:sz w:val="21"/>
                <w:szCs w:val="21"/>
              </w:rPr>
              <w:t>with regard to</w:t>
            </w:r>
            <w:proofErr w:type="gramEnd"/>
            <w:r>
              <w:rPr>
                <w:rFonts w:ascii="Arial" w:eastAsia="Arial" w:hAnsi="Arial" w:cs="Arial"/>
                <w:color w:val="FFFFFF"/>
                <w:sz w:val="21"/>
                <w:szCs w:val="21"/>
              </w:rPr>
              <w:t xml:space="preserve"> the completeness or accuracy of the data or information contained herein, and it accepts no responsibility and disclaims all liability (save for liability that cannot be lawfully discl</w:t>
            </w:r>
            <w:r>
              <w:rPr>
                <w:rFonts w:ascii="Arial" w:eastAsia="Arial" w:hAnsi="Arial" w:cs="Arial"/>
                <w:color w:val="FFFFFF"/>
                <w:sz w:val="21"/>
                <w:szCs w:val="21"/>
              </w:rPr>
              <w:t>aimed) for loss or damage whatsoever suffered or incurred by any other person resulting from the use of, or reliance upon, the data or information contained herein. Copyright in this publication is owned by IBISWorld Ltd. The publication is sold on the bas</w:t>
            </w:r>
            <w:r>
              <w:rPr>
                <w:rFonts w:ascii="Arial" w:eastAsia="Arial" w:hAnsi="Arial" w:cs="Arial"/>
                <w:color w:val="FFFFFF"/>
                <w:sz w:val="21"/>
                <w:szCs w:val="21"/>
              </w:rPr>
              <w:t xml:space="preserve">is that the purchaser agrees not to copy the material contained within it for other than the purchaser’s own purposes. </w:t>
            </w:r>
            <w:proofErr w:type="gramStart"/>
            <w:r>
              <w:rPr>
                <w:rFonts w:ascii="Arial" w:eastAsia="Arial" w:hAnsi="Arial" w:cs="Arial"/>
                <w:color w:val="FFFFFF"/>
                <w:sz w:val="21"/>
                <w:szCs w:val="21"/>
              </w:rPr>
              <w:t>In the event that</w:t>
            </w:r>
            <w:proofErr w:type="gramEnd"/>
            <w:r>
              <w:rPr>
                <w:rFonts w:ascii="Arial" w:eastAsia="Arial" w:hAnsi="Arial" w:cs="Arial"/>
                <w:color w:val="FFFFFF"/>
                <w:sz w:val="21"/>
                <w:szCs w:val="21"/>
              </w:rPr>
              <w:t xml:space="preserve"> the purchaser uses or quotes from the material in this publication – in papers, reports or opinions prepared for any ot</w:t>
            </w:r>
            <w:r>
              <w:rPr>
                <w:rFonts w:ascii="Arial" w:eastAsia="Arial" w:hAnsi="Arial" w:cs="Arial"/>
                <w:color w:val="FFFFFF"/>
                <w:sz w:val="21"/>
                <w:szCs w:val="21"/>
              </w:rPr>
              <w:t>her person – it is agreed that it will be sourced to IBISWorld Ltd</w:t>
            </w:r>
          </w:p>
          <w:p w14:paraId="1F1F3C57" w14:textId="77777777" w:rsidR="00B16DFE" w:rsidRDefault="00B16DFE">
            <w:pPr>
              <w:spacing w:after="0" w:line="240" w:lineRule="atLeast"/>
              <w:rPr>
                <w:rFonts w:ascii="Arial" w:eastAsia="Arial" w:hAnsi="Arial" w:cs="Arial"/>
                <w:color w:val="FFFFFF"/>
                <w:sz w:val="21"/>
                <w:szCs w:val="21"/>
              </w:rPr>
            </w:pPr>
          </w:p>
          <w:p w14:paraId="0C5A868A" w14:textId="77777777" w:rsidR="00B16DFE" w:rsidRDefault="009F0859">
            <w:pPr>
              <w:spacing w:after="0" w:line="240" w:lineRule="atLeast"/>
              <w:rPr>
                <w:rFonts w:ascii="Arial" w:eastAsia="Arial" w:hAnsi="Arial" w:cs="Arial"/>
                <w:color w:val="FFFFFF"/>
                <w:sz w:val="21"/>
                <w:szCs w:val="21"/>
              </w:rPr>
            </w:pPr>
            <w:r>
              <w:rPr>
                <w:rFonts w:ascii="Arial" w:eastAsia="Arial" w:hAnsi="Arial" w:cs="Arial"/>
                <w:color w:val="FFFFFF"/>
                <w:sz w:val="21"/>
                <w:szCs w:val="21"/>
              </w:rPr>
              <w:t>Copyright 2020 IBISWorld Ltd.</w:t>
            </w:r>
          </w:p>
        </w:tc>
      </w:tr>
    </w:tbl>
    <w:p w14:paraId="6A6F9F14" w14:textId="77777777" w:rsidR="00B16DFE" w:rsidRDefault="00B16DFE"/>
    <w:p w14:paraId="5736AA1D" w14:textId="77777777" w:rsidR="00B16DFE" w:rsidRDefault="009F0859">
      <w:r>
        <w:t xml:space="preserve"> </w:t>
      </w:r>
      <w:r>
        <w:rPr>
          <w:noProof/>
        </w:rPr>
        <w:drawing>
          <wp:anchor distT="0" distB="0" distL="115200" distR="115200" simplePos="0" relativeHeight="251659776" behindDoc="1" locked="0" layoutInCell="1" allowOverlap="1" wp14:anchorId="39D54848" wp14:editId="4642D62F">
            <wp:simplePos x="0" y="0"/>
            <wp:positionH relativeFrom="page">
              <wp:align>left</wp:align>
            </wp:positionH>
            <wp:positionV relativeFrom="page">
              <wp:posOffset>-914400</wp:posOffset>
            </wp:positionV>
            <wp:extent cx="11430000" cy="12382500"/>
            <wp:effectExtent l="0" t="0" r="0" b="0"/>
            <wp:wrapNone/>
            <wp:docPr id="159" name="Picture 159"/>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92" cstate="print"/>
                    <a:stretch>
                      <a:fillRect/>
                    </a:stretch>
                  </pic:blipFill>
                  <pic:spPr>
                    <a:xfrm>
                      <a:off x="0" y="0"/>
                      <a:ext cx="11430000" cy="12382500"/>
                    </a:xfrm>
                    <a:prstGeom prst="rect">
                      <a:avLst/>
                    </a:prstGeom>
                  </pic:spPr>
                </pic:pic>
              </a:graphicData>
            </a:graphic>
          </wp:anchor>
        </w:drawing>
      </w:r>
    </w:p>
    <w:sectPr w:rsidR="00B16DFE">
      <w:headerReference w:type="default" r:id="rId93"/>
      <w:footerReference w:type="default" r:id="rId94"/>
      <w:pgSz w:w="11907" w:h="16839" w:code="9"/>
      <w:pgMar w:top="800" w:right="640" w:bottom="0" w:left="6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FFAC24" w14:textId="77777777" w:rsidR="009F0859" w:rsidRDefault="009F0859">
      <w:pPr>
        <w:spacing w:after="0" w:line="240" w:lineRule="auto"/>
      </w:pPr>
      <w:r>
        <w:separator/>
      </w:r>
    </w:p>
  </w:endnote>
  <w:endnote w:type="continuationSeparator" w:id="0">
    <w:p w14:paraId="56B24202" w14:textId="77777777" w:rsidR="009F0859" w:rsidRDefault="009F0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3795"/>
      <w:gridCol w:w="3253"/>
      <w:gridCol w:w="3795"/>
    </w:tblGrid>
    <w:tr w:rsidR="00B16DFE" w14:paraId="5733E802" w14:textId="77777777">
      <w:trPr>
        <w:trHeight w:hRule="exact" w:val="800"/>
      </w:trPr>
      <w:tc>
        <w:tcPr>
          <w:tcW w:w="1750" w:type="pct"/>
          <w:tcBorders>
            <w:top w:val="single" w:sz="8" w:space="0" w:color="646464"/>
          </w:tcBorders>
          <w:shd w:val="clear" w:color="auto" w:fill="FFFFFF"/>
          <w:vAlign w:val="center"/>
        </w:tcPr>
        <w:p w14:paraId="3CD4F8EB" w14:textId="77777777" w:rsidR="00B16DFE" w:rsidRDefault="009F0859">
          <w:r>
            <w:rPr>
              <w:rFonts w:ascii="Arial" w:eastAsia="Arial" w:hAnsi="Arial" w:cs="Arial"/>
              <w:color w:val="646464"/>
              <w:sz w:val="20"/>
              <w:szCs w:val="20"/>
            </w:rPr>
            <w:t>IBISWorld.com</w:t>
          </w:r>
        </w:p>
      </w:tc>
      <w:tc>
        <w:tcPr>
          <w:tcW w:w="1500" w:type="pct"/>
          <w:tcBorders>
            <w:top w:val="single" w:sz="8" w:space="0" w:color="646464"/>
          </w:tcBorders>
          <w:shd w:val="clear" w:color="auto" w:fill="FFFFFF"/>
          <w:vAlign w:val="center"/>
        </w:tcPr>
        <w:p w14:paraId="515E2C22" w14:textId="77777777" w:rsidR="00B16DFE" w:rsidRDefault="009F0859">
          <w:pPr>
            <w:jc w:val="center"/>
          </w:pPr>
          <w:r>
            <w:rPr>
              <w:rFonts w:ascii="Arial" w:eastAsia="Arial" w:hAnsi="Arial" w:cs="Arial"/>
              <w:color w:val="646464"/>
              <w:sz w:val="20"/>
              <w:szCs w:val="20"/>
            </w:rPr>
            <w:t xml:space="preserve">(020) 7222 </w:t>
          </w:r>
          <w:r>
            <w:rPr>
              <w:rFonts w:ascii="Arial" w:eastAsia="Arial" w:hAnsi="Arial" w:cs="Arial"/>
              <w:color w:val="646464"/>
              <w:sz w:val="20"/>
              <w:szCs w:val="20"/>
            </w:rPr>
            <w:t>9898</w:t>
          </w:r>
        </w:p>
      </w:tc>
      <w:tc>
        <w:tcPr>
          <w:tcW w:w="1750" w:type="pct"/>
          <w:tcBorders>
            <w:top w:val="single" w:sz="8" w:space="0" w:color="646464"/>
          </w:tcBorders>
          <w:shd w:val="clear" w:color="auto" w:fill="FFFFFF"/>
          <w:vAlign w:val="center"/>
        </w:tcPr>
        <w:p w14:paraId="24CFE93F" w14:textId="77777777" w:rsidR="00B16DFE" w:rsidRDefault="009F0859">
          <w:pPr>
            <w:jc w:val="right"/>
          </w:pPr>
          <w:r>
            <w:rPr>
              <w:rFonts w:ascii="Arial" w:eastAsia="Arial" w:hAnsi="Arial" w:cs="Arial"/>
              <w:color w:val="646464"/>
              <w:sz w:val="20"/>
              <w:szCs w:val="20"/>
            </w:rPr>
            <w:t>info@IBISWorld.com</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1E57AFC6" w14:textId="77777777">
      <w:trPr>
        <w:trHeight w:hRule="exact" w:val="760"/>
      </w:trPr>
      <w:tc>
        <w:tcPr>
          <w:tcW w:w="2500" w:type="pct"/>
          <w:shd w:val="clear" w:color="auto" w:fill="FFFFFF"/>
          <w:vAlign w:val="center"/>
        </w:tcPr>
        <w:p w14:paraId="5B2E1A91"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2</w:t>
          </w:r>
          <w:r>
            <w:rPr>
              <w:rFonts w:ascii="Arial" w:eastAsia="Arial" w:hAnsi="Arial" w:cs="Arial"/>
              <w:color w:val="646464"/>
              <w:sz w:val="20"/>
              <w:szCs w:val="20"/>
            </w:rPr>
            <w:fldChar w:fldCharType="end"/>
          </w:r>
        </w:p>
      </w:tc>
      <w:tc>
        <w:tcPr>
          <w:tcW w:w="2500" w:type="pct"/>
          <w:shd w:val="clear" w:color="auto" w:fill="FFFFFF"/>
          <w:vAlign w:val="center"/>
        </w:tcPr>
        <w:p w14:paraId="12BE01CC" w14:textId="77777777" w:rsidR="00B16DFE" w:rsidRDefault="009F0859">
          <w:pPr>
            <w:jc w:val="right"/>
          </w:pPr>
          <w:r>
            <w:rPr>
              <w:rFonts w:ascii="Arial" w:eastAsia="Arial" w:hAnsi="Arial" w:cs="Arial"/>
              <w:color w:val="646464"/>
              <w:sz w:val="20"/>
              <w:szCs w:val="20"/>
            </w:rPr>
            <w:t>IBISWorld.com</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1BC38" w14:textId="77777777" w:rsidR="00000000" w:rsidRDefault="009F0859">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7B01EA22" w14:textId="77777777">
      <w:trPr>
        <w:trHeight w:hRule="exact" w:val="760"/>
      </w:trPr>
      <w:tc>
        <w:tcPr>
          <w:tcW w:w="2500" w:type="pct"/>
          <w:shd w:val="clear" w:color="auto" w:fill="FFFFFF"/>
          <w:vAlign w:val="center"/>
        </w:tcPr>
        <w:p w14:paraId="36FF4F5B"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3</w:t>
          </w:r>
          <w:r>
            <w:rPr>
              <w:rFonts w:ascii="Arial" w:eastAsia="Arial" w:hAnsi="Arial" w:cs="Arial"/>
              <w:color w:val="646464"/>
              <w:sz w:val="20"/>
              <w:szCs w:val="20"/>
            </w:rPr>
            <w:fldChar w:fldCharType="end"/>
          </w:r>
        </w:p>
      </w:tc>
      <w:tc>
        <w:tcPr>
          <w:tcW w:w="2500" w:type="pct"/>
          <w:shd w:val="clear" w:color="auto" w:fill="FFFFFF"/>
          <w:vAlign w:val="center"/>
        </w:tcPr>
        <w:p w14:paraId="7B94154B" w14:textId="77777777" w:rsidR="00B16DFE" w:rsidRDefault="009F0859">
          <w:pPr>
            <w:jc w:val="right"/>
          </w:pPr>
          <w:r>
            <w:rPr>
              <w:rFonts w:ascii="Arial" w:eastAsia="Arial" w:hAnsi="Arial" w:cs="Arial"/>
              <w:color w:val="646464"/>
              <w:sz w:val="20"/>
              <w:szCs w:val="20"/>
            </w:rPr>
            <w:t>IBISWorld.com</w:t>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04DE5FBC" w14:textId="77777777">
      <w:trPr>
        <w:trHeight w:hRule="exact" w:val="760"/>
      </w:trPr>
      <w:tc>
        <w:tcPr>
          <w:tcW w:w="2500" w:type="pct"/>
          <w:shd w:val="clear" w:color="auto" w:fill="FFFFFF"/>
          <w:vAlign w:val="center"/>
        </w:tcPr>
        <w:p w14:paraId="741A13B6"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4</w:t>
          </w:r>
          <w:r>
            <w:rPr>
              <w:rFonts w:ascii="Arial" w:eastAsia="Arial" w:hAnsi="Arial" w:cs="Arial"/>
              <w:color w:val="646464"/>
              <w:sz w:val="20"/>
              <w:szCs w:val="20"/>
            </w:rPr>
            <w:fldChar w:fldCharType="end"/>
          </w:r>
        </w:p>
      </w:tc>
      <w:tc>
        <w:tcPr>
          <w:tcW w:w="2500" w:type="pct"/>
          <w:shd w:val="clear" w:color="auto" w:fill="FFFFFF"/>
          <w:vAlign w:val="center"/>
        </w:tcPr>
        <w:p w14:paraId="2773144C" w14:textId="77777777" w:rsidR="00B16DFE" w:rsidRDefault="009F0859">
          <w:pPr>
            <w:jc w:val="right"/>
          </w:pPr>
          <w:r>
            <w:rPr>
              <w:rFonts w:ascii="Arial" w:eastAsia="Arial" w:hAnsi="Arial" w:cs="Arial"/>
              <w:color w:val="646464"/>
              <w:sz w:val="20"/>
              <w:szCs w:val="20"/>
            </w:rPr>
            <w:t>IBISWorld.com</w:t>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3CA8577E" w14:textId="77777777">
      <w:trPr>
        <w:trHeight w:hRule="exact" w:val="760"/>
      </w:trPr>
      <w:tc>
        <w:tcPr>
          <w:tcW w:w="2500" w:type="pct"/>
          <w:shd w:val="clear" w:color="auto" w:fill="FFFFFF"/>
          <w:vAlign w:val="center"/>
        </w:tcPr>
        <w:p w14:paraId="14378E73"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6</w:t>
          </w:r>
          <w:r>
            <w:rPr>
              <w:rFonts w:ascii="Arial" w:eastAsia="Arial" w:hAnsi="Arial" w:cs="Arial"/>
              <w:color w:val="646464"/>
              <w:sz w:val="20"/>
              <w:szCs w:val="20"/>
            </w:rPr>
            <w:fldChar w:fldCharType="end"/>
          </w:r>
        </w:p>
      </w:tc>
      <w:tc>
        <w:tcPr>
          <w:tcW w:w="2500" w:type="pct"/>
          <w:shd w:val="clear" w:color="auto" w:fill="FFFFFF"/>
          <w:vAlign w:val="center"/>
        </w:tcPr>
        <w:p w14:paraId="32608A59" w14:textId="77777777" w:rsidR="00B16DFE" w:rsidRDefault="009F0859">
          <w:pPr>
            <w:jc w:val="right"/>
          </w:pPr>
          <w:r>
            <w:rPr>
              <w:rFonts w:ascii="Arial" w:eastAsia="Arial" w:hAnsi="Arial" w:cs="Arial"/>
              <w:color w:val="646464"/>
              <w:sz w:val="20"/>
              <w:szCs w:val="20"/>
            </w:rPr>
            <w:t>IBISWorld.com</w:t>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7556C571" w14:textId="77777777">
      <w:trPr>
        <w:trHeight w:hRule="exact" w:val="760"/>
      </w:trPr>
      <w:tc>
        <w:tcPr>
          <w:tcW w:w="2500" w:type="pct"/>
          <w:shd w:val="clear" w:color="auto" w:fill="FFFFFF"/>
          <w:vAlign w:val="center"/>
        </w:tcPr>
        <w:p w14:paraId="7D967FE4"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9</w:t>
          </w:r>
          <w:r>
            <w:rPr>
              <w:rFonts w:ascii="Arial" w:eastAsia="Arial" w:hAnsi="Arial" w:cs="Arial"/>
              <w:color w:val="646464"/>
              <w:sz w:val="20"/>
              <w:szCs w:val="20"/>
            </w:rPr>
            <w:fldChar w:fldCharType="end"/>
          </w:r>
        </w:p>
      </w:tc>
      <w:tc>
        <w:tcPr>
          <w:tcW w:w="2500" w:type="pct"/>
          <w:shd w:val="clear" w:color="auto" w:fill="FFFFFF"/>
          <w:vAlign w:val="center"/>
        </w:tcPr>
        <w:p w14:paraId="11B55A52" w14:textId="77777777" w:rsidR="00B16DFE" w:rsidRDefault="009F0859">
          <w:pPr>
            <w:jc w:val="right"/>
          </w:pPr>
          <w:r>
            <w:rPr>
              <w:rFonts w:ascii="Arial" w:eastAsia="Arial" w:hAnsi="Arial" w:cs="Arial"/>
              <w:color w:val="646464"/>
              <w:sz w:val="20"/>
              <w:szCs w:val="20"/>
            </w:rPr>
            <w:t>IBISWorld.com</w:t>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02D53B7F" w14:textId="77777777">
      <w:trPr>
        <w:trHeight w:hRule="exact" w:val="760"/>
      </w:trPr>
      <w:tc>
        <w:tcPr>
          <w:tcW w:w="2500" w:type="pct"/>
          <w:shd w:val="clear" w:color="auto" w:fill="FFFFFF"/>
          <w:vAlign w:val="center"/>
        </w:tcPr>
        <w:p w14:paraId="27F3917D"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13</w:t>
          </w:r>
          <w:r>
            <w:rPr>
              <w:rFonts w:ascii="Arial" w:eastAsia="Arial" w:hAnsi="Arial" w:cs="Arial"/>
              <w:color w:val="646464"/>
              <w:sz w:val="20"/>
              <w:szCs w:val="20"/>
            </w:rPr>
            <w:fldChar w:fldCharType="end"/>
          </w:r>
        </w:p>
      </w:tc>
      <w:tc>
        <w:tcPr>
          <w:tcW w:w="2500" w:type="pct"/>
          <w:shd w:val="clear" w:color="auto" w:fill="FFFFFF"/>
          <w:vAlign w:val="center"/>
        </w:tcPr>
        <w:p w14:paraId="46213403" w14:textId="77777777" w:rsidR="00B16DFE" w:rsidRDefault="009F0859">
          <w:pPr>
            <w:jc w:val="right"/>
          </w:pPr>
          <w:r>
            <w:rPr>
              <w:rFonts w:ascii="Arial" w:eastAsia="Arial" w:hAnsi="Arial" w:cs="Arial"/>
              <w:color w:val="646464"/>
              <w:sz w:val="20"/>
              <w:szCs w:val="20"/>
            </w:rPr>
            <w:t>IBISWorld.com</w:t>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7328A5EE" w14:textId="77777777">
      <w:trPr>
        <w:trHeight w:hRule="exact" w:val="760"/>
      </w:trPr>
      <w:tc>
        <w:tcPr>
          <w:tcW w:w="2500" w:type="pct"/>
          <w:shd w:val="clear" w:color="auto" w:fill="FFFFFF"/>
          <w:vAlign w:val="center"/>
        </w:tcPr>
        <w:p w14:paraId="37FBB123"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16</w:t>
          </w:r>
          <w:r>
            <w:rPr>
              <w:rFonts w:ascii="Arial" w:eastAsia="Arial" w:hAnsi="Arial" w:cs="Arial"/>
              <w:color w:val="646464"/>
              <w:sz w:val="20"/>
              <w:szCs w:val="20"/>
            </w:rPr>
            <w:fldChar w:fldCharType="end"/>
          </w:r>
        </w:p>
      </w:tc>
      <w:tc>
        <w:tcPr>
          <w:tcW w:w="2500" w:type="pct"/>
          <w:shd w:val="clear" w:color="auto" w:fill="FFFFFF"/>
          <w:vAlign w:val="center"/>
        </w:tcPr>
        <w:p w14:paraId="4DC75585" w14:textId="77777777" w:rsidR="00B16DFE" w:rsidRDefault="009F0859">
          <w:pPr>
            <w:jc w:val="right"/>
          </w:pPr>
          <w:r>
            <w:rPr>
              <w:rFonts w:ascii="Arial" w:eastAsia="Arial" w:hAnsi="Arial" w:cs="Arial"/>
              <w:color w:val="646464"/>
              <w:sz w:val="20"/>
              <w:szCs w:val="20"/>
            </w:rPr>
            <w:t>IBISWorld.com</w:t>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355FCB09" w14:textId="77777777">
      <w:trPr>
        <w:trHeight w:hRule="exact" w:val="760"/>
      </w:trPr>
      <w:tc>
        <w:tcPr>
          <w:tcW w:w="2500" w:type="pct"/>
          <w:shd w:val="clear" w:color="auto" w:fill="FFFFFF"/>
          <w:vAlign w:val="center"/>
        </w:tcPr>
        <w:p w14:paraId="29564EB3"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21</w:t>
          </w:r>
          <w:r>
            <w:rPr>
              <w:rFonts w:ascii="Arial" w:eastAsia="Arial" w:hAnsi="Arial" w:cs="Arial"/>
              <w:color w:val="646464"/>
              <w:sz w:val="20"/>
              <w:szCs w:val="20"/>
            </w:rPr>
            <w:fldChar w:fldCharType="end"/>
          </w:r>
        </w:p>
      </w:tc>
      <w:tc>
        <w:tcPr>
          <w:tcW w:w="2500" w:type="pct"/>
          <w:shd w:val="clear" w:color="auto" w:fill="FFFFFF"/>
          <w:vAlign w:val="center"/>
        </w:tcPr>
        <w:p w14:paraId="6F15E0D9" w14:textId="77777777" w:rsidR="00B16DFE" w:rsidRDefault="009F0859">
          <w:pPr>
            <w:jc w:val="right"/>
          </w:pPr>
          <w:r>
            <w:rPr>
              <w:rFonts w:ascii="Arial" w:eastAsia="Arial" w:hAnsi="Arial" w:cs="Arial"/>
              <w:color w:val="646464"/>
              <w:sz w:val="20"/>
              <w:szCs w:val="20"/>
            </w:rPr>
            <w:t>IBISWorld.com</w:t>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1DA2F516" w14:textId="77777777">
      <w:trPr>
        <w:trHeight w:hRule="exact" w:val="760"/>
      </w:trPr>
      <w:tc>
        <w:tcPr>
          <w:tcW w:w="2500" w:type="pct"/>
          <w:shd w:val="clear" w:color="auto" w:fill="FFFFFF"/>
          <w:vAlign w:val="center"/>
        </w:tcPr>
        <w:p w14:paraId="10F27C83"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28</w:t>
          </w:r>
          <w:r>
            <w:rPr>
              <w:rFonts w:ascii="Arial" w:eastAsia="Arial" w:hAnsi="Arial" w:cs="Arial"/>
              <w:color w:val="646464"/>
              <w:sz w:val="20"/>
              <w:szCs w:val="20"/>
            </w:rPr>
            <w:fldChar w:fldCharType="end"/>
          </w:r>
        </w:p>
      </w:tc>
      <w:tc>
        <w:tcPr>
          <w:tcW w:w="2500" w:type="pct"/>
          <w:shd w:val="clear" w:color="auto" w:fill="FFFFFF"/>
          <w:vAlign w:val="center"/>
        </w:tcPr>
        <w:p w14:paraId="419F76F2" w14:textId="77777777" w:rsidR="00B16DFE" w:rsidRDefault="009F0859">
          <w:pPr>
            <w:jc w:val="right"/>
          </w:pPr>
          <w:r>
            <w:rPr>
              <w:rFonts w:ascii="Arial" w:eastAsia="Arial" w:hAnsi="Arial" w:cs="Arial"/>
              <w:color w:val="646464"/>
              <w:sz w:val="20"/>
              <w:szCs w:val="20"/>
            </w:rPr>
            <w:t>IBISWorld.com</w:t>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4EE7BC4C" w14:textId="77777777">
      <w:trPr>
        <w:trHeight w:hRule="exact" w:val="760"/>
      </w:trPr>
      <w:tc>
        <w:tcPr>
          <w:tcW w:w="2500" w:type="pct"/>
          <w:shd w:val="clear" w:color="auto" w:fill="FFFFFF"/>
          <w:vAlign w:val="center"/>
        </w:tcPr>
        <w:p w14:paraId="3878821E"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32</w:t>
          </w:r>
          <w:r>
            <w:rPr>
              <w:rFonts w:ascii="Arial" w:eastAsia="Arial" w:hAnsi="Arial" w:cs="Arial"/>
              <w:color w:val="646464"/>
              <w:sz w:val="20"/>
              <w:szCs w:val="20"/>
            </w:rPr>
            <w:fldChar w:fldCharType="end"/>
          </w:r>
        </w:p>
      </w:tc>
      <w:tc>
        <w:tcPr>
          <w:tcW w:w="2500" w:type="pct"/>
          <w:shd w:val="clear" w:color="auto" w:fill="FFFFFF"/>
          <w:vAlign w:val="center"/>
        </w:tcPr>
        <w:p w14:paraId="02248AA6" w14:textId="77777777" w:rsidR="00B16DFE" w:rsidRDefault="009F0859">
          <w:pPr>
            <w:jc w:val="right"/>
          </w:pPr>
          <w:r>
            <w:rPr>
              <w:rFonts w:ascii="Arial" w:eastAsia="Arial" w:hAnsi="Arial" w:cs="Arial"/>
              <w:color w:val="646464"/>
              <w:sz w:val="20"/>
              <w:szCs w:val="20"/>
            </w:rPr>
            <w:t>IBISWorld.com</w:t>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1A83329C" w14:textId="77777777">
      <w:trPr>
        <w:trHeight w:hRule="exact" w:val="760"/>
      </w:trPr>
      <w:tc>
        <w:tcPr>
          <w:tcW w:w="2500" w:type="pct"/>
          <w:shd w:val="clear" w:color="auto" w:fill="FFFFFF"/>
          <w:vAlign w:val="center"/>
        </w:tcPr>
        <w:p w14:paraId="38C348C0"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37</w:t>
          </w:r>
          <w:r>
            <w:rPr>
              <w:rFonts w:ascii="Arial" w:eastAsia="Arial" w:hAnsi="Arial" w:cs="Arial"/>
              <w:color w:val="646464"/>
              <w:sz w:val="20"/>
              <w:szCs w:val="20"/>
            </w:rPr>
            <w:fldChar w:fldCharType="end"/>
          </w:r>
        </w:p>
      </w:tc>
      <w:tc>
        <w:tcPr>
          <w:tcW w:w="2500" w:type="pct"/>
          <w:shd w:val="clear" w:color="auto" w:fill="FFFFFF"/>
          <w:vAlign w:val="center"/>
        </w:tcPr>
        <w:p w14:paraId="36CABB60" w14:textId="77777777" w:rsidR="00B16DFE" w:rsidRDefault="009F0859">
          <w:pPr>
            <w:jc w:val="right"/>
          </w:pPr>
          <w:r>
            <w:rPr>
              <w:rFonts w:ascii="Arial" w:eastAsia="Arial" w:hAnsi="Arial" w:cs="Arial"/>
              <w:color w:val="646464"/>
              <w:sz w:val="20"/>
              <w:szCs w:val="20"/>
            </w:rPr>
            <w:t>IBISWorld.com</w:t>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7CFB9E41" w14:textId="77777777">
      <w:trPr>
        <w:trHeight w:hRule="exact" w:val="760"/>
      </w:trPr>
      <w:tc>
        <w:tcPr>
          <w:tcW w:w="2500" w:type="pct"/>
          <w:shd w:val="clear" w:color="auto" w:fill="FFFFFF"/>
          <w:vAlign w:val="center"/>
        </w:tcPr>
        <w:p w14:paraId="3C8D3B67"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38</w:t>
          </w:r>
          <w:r>
            <w:rPr>
              <w:rFonts w:ascii="Arial" w:eastAsia="Arial" w:hAnsi="Arial" w:cs="Arial"/>
              <w:color w:val="646464"/>
              <w:sz w:val="20"/>
              <w:szCs w:val="20"/>
            </w:rPr>
            <w:fldChar w:fldCharType="end"/>
          </w:r>
        </w:p>
      </w:tc>
      <w:tc>
        <w:tcPr>
          <w:tcW w:w="2500" w:type="pct"/>
          <w:shd w:val="clear" w:color="auto" w:fill="FFFFFF"/>
          <w:vAlign w:val="center"/>
        </w:tcPr>
        <w:p w14:paraId="112CC12D" w14:textId="77777777" w:rsidR="00B16DFE" w:rsidRDefault="009F0859">
          <w:pPr>
            <w:jc w:val="right"/>
          </w:pPr>
          <w:r>
            <w:rPr>
              <w:rFonts w:ascii="Arial" w:eastAsia="Arial" w:hAnsi="Arial" w:cs="Arial"/>
              <w:color w:val="646464"/>
              <w:sz w:val="20"/>
              <w:szCs w:val="20"/>
            </w:rPr>
            <w:t>IBISWorld.com</w:t>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4A0" w:firstRow="1" w:lastRow="0" w:firstColumn="1" w:lastColumn="0" w:noHBand="0" w:noVBand="1"/>
    </w:tblPr>
    <w:tblGrid>
      <w:gridCol w:w="5421"/>
      <w:gridCol w:w="5422"/>
    </w:tblGrid>
    <w:tr w:rsidR="00B16DFE" w14:paraId="428FA3FD" w14:textId="77777777">
      <w:trPr>
        <w:trHeight w:hRule="exact" w:val="760"/>
      </w:trPr>
      <w:tc>
        <w:tcPr>
          <w:tcW w:w="2500" w:type="pct"/>
          <w:shd w:val="clear" w:color="auto" w:fill="FFFFFF"/>
          <w:vAlign w:val="center"/>
        </w:tcPr>
        <w:p w14:paraId="2C49FBD4" w14:textId="77777777" w:rsidR="00B16DFE" w:rsidRDefault="009F0859">
          <w:r>
            <w:rPr>
              <w:rFonts w:ascii="Arial" w:eastAsia="Arial" w:hAnsi="Arial" w:cs="Arial"/>
              <w:color w:val="646464"/>
              <w:sz w:val="20"/>
              <w:szCs w:val="20"/>
            </w:rPr>
            <w:fldChar w:fldCharType="begin"/>
          </w:r>
          <w:r>
            <w:rPr>
              <w:rFonts w:ascii="Arial" w:eastAsia="Arial" w:hAnsi="Arial" w:cs="Arial"/>
              <w:color w:val="646464"/>
              <w:sz w:val="20"/>
              <w:szCs w:val="20"/>
            </w:rPr>
            <w:instrText xml:space="preserve">PAGE </w:instrText>
          </w:r>
          <w:r>
            <w:rPr>
              <w:rFonts w:ascii="Arial" w:eastAsia="Arial" w:hAnsi="Arial" w:cs="Arial"/>
              <w:color w:val="646464"/>
              <w:sz w:val="20"/>
              <w:szCs w:val="20"/>
            </w:rPr>
            <w:fldChar w:fldCharType="separate"/>
          </w:r>
          <w:r>
            <w:rPr>
              <w:rFonts w:ascii="Arial" w:eastAsia="Arial" w:hAnsi="Arial" w:cs="Arial"/>
              <w:color w:val="646464"/>
              <w:sz w:val="20"/>
              <w:szCs w:val="20"/>
            </w:rPr>
            <w:t>40</w:t>
          </w:r>
          <w:r>
            <w:rPr>
              <w:rFonts w:ascii="Arial" w:eastAsia="Arial" w:hAnsi="Arial" w:cs="Arial"/>
              <w:color w:val="646464"/>
              <w:sz w:val="20"/>
              <w:szCs w:val="20"/>
            </w:rPr>
            <w:fldChar w:fldCharType="end"/>
          </w:r>
        </w:p>
      </w:tc>
      <w:tc>
        <w:tcPr>
          <w:tcW w:w="2500" w:type="pct"/>
          <w:shd w:val="clear" w:color="auto" w:fill="FFFFFF"/>
          <w:vAlign w:val="center"/>
        </w:tcPr>
        <w:p w14:paraId="2D4EC95C" w14:textId="77777777" w:rsidR="00B16DFE" w:rsidRDefault="009F0859">
          <w:pPr>
            <w:jc w:val="right"/>
          </w:pPr>
          <w:r>
            <w:rPr>
              <w:rFonts w:ascii="Arial" w:eastAsia="Arial" w:hAnsi="Arial" w:cs="Arial"/>
              <w:color w:val="646464"/>
              <w:sz w:val="20"/>
              <w:szCs w:val="20"/>
            </w:rPr>
            <w:t>IBISWorld.com</w:t>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B0159" w14:textId="77777777" w:rsidR="00000000" w:rsidRDefault="009F085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EDB1E5" w14:textId="77777777" w:rsidR="009F0859" w:rsidRDefault="009F0859">
      <w:pPr>
        <w:spacing w:after="0" w:line="240" w:lineRule="auto"/>
      </w:pPr>
      <w:r>
        <w:separator/>
      </w:r>
    </w:p>
  </w:footnote>
  <w:footnote w:type="continuationSeparator" w:id="0">
    <w:p w14:paraId="35E1CE69" w14:textId="77777777" w:rsidR="009F0859" w:rsidRDefault="009F0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278DE1E8" w14:textId="77777777">
      <w:trPr>
        <w:trHeight w:hRule="exact" w:val="100"/>
      </w:trPr>
      <w:tc>
        <w:tcPr>
          <w:tcW w:w="900" w:type="dxa"/>
          <w:shd w:val="clear" w:color="auto" w:fill="AB091E"/>
        </w:tcPr>
        <w:p w14:paraId="45097D2D" w14:textId="77777777" w:rsidR="00B16DFE" w:rsidRDefault="009F0859">
          <w:r>
            <w:rPr>
              <w:rFonts w:ascii="Arial" w:eastAsia="Arial" w:hAnsi="Arial" w:cs="Arial"/>
              <w:sz w:val="16"/>
              <w:szCs w:val="16"/>
            </w:rPr>
            <w:t xml:space="preserve"> </w:t>
          </w:r>
        </w:p>
      </w:tc>
      <w:tc>
        <w:tcPr>
          <w:tcW w:w="7700" w:type="dxa"/>
          <w:shd w:val="clear" w:color="auto" w:fill="AB091E"/>
          <w:noWrap/>
        </w:tcPr>
        <w:p w14:paraId="1813F580" w14:textId="77777777" w:rsidR="00B16DFE" w:rsidRDefault="009F0859">
          <w:r>
            <w:rPr>
              <w:rFonts w:ascii="Arial" w:eastAsia="Arial" w:hAnsi="Arial" w:cs="Arial"/>
              <w:sz w:val="16"/>
              <w:szCs w:val="16"/>
            </w:rPr>
            <w:t xml:space="preserve"> </w:t>
          </w:r>
        </w:p>
      </w:tc>
      <w:tc>
        <w:tcPr>
          <w:tcW w:w="2600" w:type="dxa"/>
          <w:shd w:val="clear" w:color="auto" w:fill="AB091E"/>
        </w:tcPr>
        <w:p w14:paraId="50BDF449" w14:textId="77777777" w:rsidR="00B16DFE" w:rsidRDefault="009F0859">
          <w:r>
            <w:rPr>
              <w:rFonts w:ascii="Arial" w:eastAsia="Arial" w:hAnsi="Arial" w:cs="Arial"/>
              <w:sz w:val="16"/>
              <w:szCs w:val="16"/>
            </w:rPr>
            <w:t xml:space="preserve"> </w:t>
          </w:r>
        </w:p>
      </w:tc>
      <w:tc>
        <w:tcPr>
          <w:tcW w:w="900" w:type="dxa"/>
          <w:shd w:val="clear" w:color="auto" w:fill="AB091E"/>
        </w:tcPr>
        <w:p w14:paraId="2251649F" w14:textId="77777777" w:rsidR="00B16DFE" w:rsidRDefault="009F0859">
          <w:r>
            <w:rPr>
              <w:rFonts w:ascii="Arial" w:eastAsia="Arial" w:hAnsi="Arial" w:cs="Arial"/>
              <w:sz w:val="16"/>
              <w:szCs w:val="16"/>
            </w:rPr>
            <w:t xml:space="preserve"> </w:t>
          </w:r>
        </w:p>
      </w:tc>
    </w:tr>
    <w:tr w:rsidR="00B16DFE" w14:paraId="54B3FB26" w14:textId="77777777">
      <w:trPr>
        <w:trHeight w:hRule="exact" w:val="520"/>
      </w:trPr>
      <w:tc>
        <w:tcPr>
          <w:tcW w:w="900" w:type="dxa"/>
          <w:shd w:val="clear" w:color="auto" w:fill="FFFFFF"/>
        </w:tcPr>
        <w:p w14:paraId="09205953"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390F890A"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24090DD7"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0A64B658" w14:textId="77777777" w:rsidR="00B16DFE" w:rsidRDefault="009F0859">
          <w:r>
            <w:rPr>
              <w:rFonts w:ascii="Arial" w:eastAsia="Arial" w:hAnsi="Arial" w:cs="Arial"/>
              <w:sz w:val="16"/>
              <w:szCs w:val="16"/>
            </w:rPr>
            <w:t xml:space="preserve"> </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EBF67" w14:textId="77777777" w:rsidR="00000000" w:rsidRDefault="009F0859">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645A912D" w14:textId="77777777">
      <w:trPr>
        <w:trHeight w:hRule="exact" w:val="100"/>
      </w:trPr>
      <w:tc>
        <w:tcPr>
          <w:tcW w:w="900" w:type="dxa"/>
          <w:shd w:val="clear" w:color="auto" w:fill="AB091E"/>
        </w:tcPr>
        <w:p w14:paraId="649E761A" w14:textId="77777777" w:rsidR="00B16DFE" w:rsidRDefault="009F0859">
          <w:r>
            <w:rPr>
              <w:rFonts w:ascii="Arial" w:eastAsia="Arial" w:hAnsi="Arial" w:cs="Arial"/>
              <w:sz w:val="16"/>
              <w:szCs w:val="16"/>
            </w:rPr>
            <w:t xml:space="preserve"> </w:t>
          </w:r>
        </w:p>
      </w:tc>
      <w:tc>
        <w:tcPr>
          <w:tcW w:w="7700" w:type="dxa"/>
          <w:shd w:val="clear" w:color="auto" w:fill="AB091E"/>
          <w:noWrap/>
        </w:tcPr>
        <w:p w14:paraId="2E25A168" w14:textId="77777777" w:rsidR="00B16DFE" w:rsidRDefault="009F0859">
          <w:r>
            <w:rPr>
              <w:rFonts w:ascii="Arial" w:eastAsia="Arial" w:hAnsi="Arial" w:cs="Arial"/>
              <w:sz w:val="16"/>
              <w:szCs w:val="16"/>
            </w:rPr>
            <w:t xml:space="preserve"> </w:t>
          </w:r>
        </w:p>
      </w:tc>
      <w:tc>
        <w:tcPr>
          <w:tcW w:w="2600" w:type="dxa"/>
          <w:shd w:val="clear" w:color="auto" w:fill="AB091E"/>
        </w:tcPr>
        <w:p w14:paraId="74ADE413" w14:textId="77777777" w:rsidR="00B16DFE" w:rsidRDefault="009F0859">
          <w:r>
            <w:rPr>
              <w:rFonts w:ascii="Arial" w:eastAsia="Arial" w:hAnsi="Arial" w:cs="Arial"/>
              <w:sz w:val="16"/>
              <w:szCs w:val="16"/>
            </w:rPr>
            <w:t xml:space="preserve"> </w:t>
          </w:r>
        </w:p>
      </w:tc>
      <w:tc>
        <w:tcPr>
          <w:tcW w:w="900" w:type="dxa"/>
          <w:shd w:val="clear" w:color="auto" w:fill="AB091E"/>
        </w:tcPr>
        <w:p w14:paraId="4E13B02D" w14:textId="77777777" w:rsidR="00B16DFE" w:rsidRDefault="009F0859">
          <w:r>
            <w:rPr>
              <w:rFonts w:ascii="Arial" w:eastAsia="Arial" w:hAnsi="Arial" w:cs="Arial"/>
              <w:sz w:val="16"/>
              <w:szCs w:val="16"/>
            </w:rPr>
            <w:t xml:space="preserve"> </w:t>
          </w:r>
        </w:p>
      </w:tc>
    </w:tr>
    <w:tr w:rsidR="00B16DFE" w14:paraId="7377E25C" w14:textId="77777777">
      <w:trPr>
        <w:trHeight w:hRule="exact" w:val="520"/>
      </w:trPr>
      <w:tc>
        <w:tcPr>
          <w:tcW w:w="900" w:type="dxa"/>
          <w:shd w:val="clear" w:color="auto" w:fill="FFFFFF"/>
        </w:tcPr>
        <w:p w14:paraId="01805B98"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34468D71"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11ACFCE0"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346DCDAB" w14:textId="77777777" w:rsidR="00B16DFE" w:rsidRDefault="009F0859">
          <w:r>
            <w:rPr>
              <w:rFonts w:ascii="Arial" w:eastAsia="Arial" w:hAnsi="Arial" w:cs="Arial"/>
              <w:sz w:val="16"/>
              <w:szCs w:val="16"/>
            </w:rPr>
            <w:t xml:space="preserve"> </w:t>
          </w:r>
        </w:p>
      </w:tc>
    </w:tr>
  </w:tbl>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392A63D9" w14:textId="77777777">
      <w:trPr>
        <w:trHeight w:hRule="exact" w:val="100"/>
      </w:trPr>
      <w:tc>
        <w:tcPr>
          <w:tcW w:w="900" w:type="dxa"/>
          <w:shd w:val="clear" w:color="auto" w:fill="AB091E"/>
        </w:tcPr>
        <w:p w14:paraId="353F830F" w14:textId="77777777" w:rsidR="00B16DFE" w:rsidRDefault="009F0859">
          <w:r>
            <w:rPr>
              <w:rFonts w:ascii="Arial" w:eastAsia="Arial" w:hAnsi="Arial" w:cs="Arial"/>
              <w:sz w:val="16"/>
              <w:szCs w:val="16"/>
            </w:rPr>
            <w:t xml:space="preserve"> </w:t>
          </w:r>
        </w:p>
      </w:tc>
      <w:tc>
        <w:tcPr>
          <w:tcW w:w="7700" w:type="dxa"/>
          <w:shd w:val="clear" w:color="auto" w:fill="AB091E"/>
          <w:noWrap/>
        </w:tcPr>
        <w:p w14:paraId="6093953D" w14:textId="77777777" w:rsidR="00B16DFE" w:rsidRDefault="009F0859">
          <w:r>
            <w:rPr>
              <w:rFonts w:ascii="Arial" w:eastAsia="Arial" w:hAnsi="Arial" w:cs="Arial"/>
              <w:sz w:val="16"/>
              <w:szCs w:val="16"/>
            </w:rPr>
            <w:t xml:space="preserve"> </w:t>
          </w:r>
        </w:p>
      </w:tc>
      <w:tc>
        <w:tcPr>
          <w:tcW w:w="2600" w:type="dxa"/>
          <w:shd w:val="clear" w:color="auto" w:fill="AB091E"/>
        </w:tcPr>
        <w:p w14:paraId="18D1273E" w14:textId="77777777" w:rsidR="00B16DFE" w:rsidRDefault="009F0859">
          <w:r>
            <w:rPr>
              <w:rFonts w:ascii="Arial" w:eastAsia="Arial" w:hAnsi="Arial" w:cs="Arial"/>
              <w:sz w:val="16"/>
              <w:szCs w:val="16"/>
            </w:rPr>
            <w:t xml:space="preserve"> </w:t>
          </w:r>
        </w:p>
      </w:tc>
      <w:tc>
        <w:tcPr>
          <w:tcW w:w="900" w:type="dxa"/>
          <w:shd w:val="clear" w:color="auto" w:fill="AB091E"/>
        </w:tcPr>
        <w:p w14:paraId="2ADB4673" w14:textId="77777777" w:rsidR="00B16DFE" w:rsidRDefault="009F0859">
          <w:r>
            <w:rPr>
              <w:rFonts w:ascii="Arial" w:eastAsia="Arial" w:hAnsi="Arial" w:cs="Arial"/>
              <w:sz w:val="16"/>
              <w:szCs w:val="16"/>
            </w:rPr>
            <w:t xml:space="preserve"> </w:t>
          </w:r>
        </w:p>
      </w:tc>
    </w:tr>
    <w:tr w:rsidR="00B16DFE" w14:paraId="2C6505F3" w14:textId="77777777">
      <w:trPr>
        <w:trHeight w:hRule="exact" w:val="520"/>
      </w:trPr>
      <w:tc>
        <w:tcPr>
          <w:tcW w:w="900" w:type="dxa"/>
          <w:shd w:val="clear" w:color="auto" w:fill="FFFFFF"/>
        </w:tcPr>
        <w:p w14:paraId="2A454CE8"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3FA4284A"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17AA67B7"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7F59A03B" w14:textId="77777777" w:rsidR="00B16DFE" w:rsidRDefault="009F0859">
          <w:r>
            <w:rPr>
              <w:rFonts w:ascii="Arial" w:eastAsia="Arial" w:hAnsi="Arial" w:cs="Arial"/>
              <w:sz w:val="16"/>
              <w:szCs w:val="16"/>
            </w:rPr>
            <w:t xml:space="preserve"> </w:t>
          </w:r>
        </w:p>
      </w:tc>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790056F8" w14:textId="77777777">
      <w:trPr>
        <w:trHeight w:hRule="exact" w:val="100"/>
      </w:trPr>
      <w:tc>
        <w:tcPr>
          <w:tcW w:w="900" w:type="dxa"/>
          <w:shd w:val="clear" w:color="auto" w:fill="AB091E"/>
        </w:tcPr>
        <w:p w14:paraId="6A20F45E" w14:textId="77777777" w:rsidR="00B16DFE" w:rsidRDefault="009F0859">
          <w:r>
            <w:rPr>
              <w:rFonts w:ascii="Arial" w:eastAsia="Arial" w:hAnsi="Arial" w:cs="Arial"/>
              <w:sz w:val="16"/>
              <w:szCs w:val="16"/>
            </w:rPr>
            <w:t xml:space="preserve"> </w:t>
          </w:r>
        </w:p>
      </w:tc>
      <w:tc>
        <w:tcPr>
          <w:tcW w:w="7700" w:type="dxa"/>
          <w:shd w:val="clear" w:color="auto" w:fill="AB091E"/>
          <w:noWrap/>
        </w:tcPr>
        <w:p w14:paraId="0D4B9F9B" w14:textId="77777777" w:rsidR="00B16DFE" w:rsidRDefault="009F0859">
          <w:r>
            <w:rPr>
              <w:rFonts w:ascii="Arial" w:eastAsia="Arial" w:hAnsi="Arial" w:cs="Arial"/>
              <w:sz w:val="16"/>
              <w:szCs w:val="16"/>
            </w:rPr>
            <w:t xml:space="preserve"> </w:t>
          </w:r>
        </w:p>
      </w:tc>
      <w:tc>
        <w:tcPr>
          <w:tcW w:w="2600" w:type="dxa"/>
          <w:shd w:val="clear" w:color="auto" w:fill="AB091E"/>
        </w:tcPr>
        <w:p w14:paraId="2936AE8A" w14:textId="77777777" w:rsidR="00B16DFE" w:rsidRDefault="009F0859">
          <w:r>
            <w:rPr>
              <w:rFonts w:ascii="Arial" w:eastAsia="Arial" w:hAnsi="Arial" w:cs="Arial"/>
              <w:sz w:val="16"/>
              <w:szCs w:val="16"/>
            </w:rPr>
            <w:t xml:space="preserve"> </w:t>
          </w:r>
        </w:p>
      </w:tc>
      <w:tc>
        <w:tcPr>
          <w:tcW w:w="900" w:type="dxa"/>
          <w:shd w:val="clear" w:color="auto" w:fill="AB091E"/>
        </w:tcPr>
        <w:p w14:paraId="31D2A493" w14:textId="77777777" w:rsidR="00B16DFE" w:rsidRDefault="009F0859">
          <w:r>
            <w:rPr>
              <w:rFonts w:ascii="Arial" w:eastAsia="Arial" w:hAnsi="Arial" w:cs="Arial"/>
              <w:sz w:val="16"/>
              <w:szCs w:val="16"/>
            </w:rPr>
            <w:t xml:space="preserve"> </w:t>
          </w:r>
        </w:p>
      </w:tc>
    </w:tr>
    <w:tr w:rsidR="00B16DFE" w14:paraId="6C3D119B" w14:textId="77777777">
      <w:trPr>
        <w:trHeight w:hRule="exact" w:val="520"/>
      </w:trPr>
      <w:tc>
        <w:tcPr>
          <w:tcW w:w="900" w:type="dxa"/>
          <w:shd w:val="clear" w:color="auto" w:fill="FFFFFF"/>
        </w:tcPr>
        <w:p w14:paraId="1D155172"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55E244E0"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647923A2"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1658EB06" w14:textId="77777777" w:rsidR="00B16DFE" w:rsidRDefault="009F0859">
          <w:r>
            <w:rPr>
              <w:rFonts w:ascii="Arial" w:eastAsia="Arial" w:hAnsi="Arial" w:cs="Arial"/>
              <w:sz w:val="16"/>
              <w:szCs w:val="16"/>
            </w:rPr>
            <w:t xml:space="preserve"> </w:t>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2CEA8367" w14:textId="77777777">
      <w:trPr>
        <w:trHeight w:hRule="exact" w:val="100"/>
      </w:trPr>
      <w:tc>
        <w:tcPr>
          <w:tcW w:w="900" w:type="dxa"/>
          <w:shd w:val="clear" w:color="auto" w:fill="AB091E"/>
        </w:tcPr>
        <w:p w14:paraId="7B02EBA8" w14:textId="77777777" w:rsidR="00B16DFE" w:rsidRDefault="009F0859">
          <w:r>
            <w:rPr>
              <w:rFonts w:ascii="Arial" w:eastAsia="Arial" w:hAnsi="Arial" w:cs="Arial"/>
              <w:sz w:val="16"/>
              <w:szCs w:val="16"/>
            </w:rPr>
            <w:t xml:space="preserve"> </w:t>
          </w:r>
        </w:p>
      </w:tc>
      <w:tc>
        <w:tcPr>
          <w:tcW w:w="7700" w:type="dxa"/>
          <w:shd w:val="clear" w:color="auto" w:fill="AB091E"/>
          <w:noWrap/>
        </w:tcPr>
        <w:p w14:paraId="3A1774DB" w14:textId="77777777" w:rsidR="00B16DFE" w:rsidRDefault="009F0859">
          <w:r>
            <w:rPr>
              <w:rFonts w:ascii="Arial" w:eastAsia="Arial" w:hAnsi="Arial" w:cs="Arial"/>
              <w:sz w:val="16"/>
              <w:szCs w:val="16"/>
            </w:rPr>
            <w:t xml:space="preserve"> </w:t>
          </w:r>
        </w:p>
      </w:tc>
      <w:tc>
        <w:tcPr>
          <w:tcW w:w="2600" w:type="dxa"/>
          <w:shd w:val="clear" w:color="auto" w:fill="AB091E"/>
        </w:tcPr>
        <w:p w14:paraId="30EAD3E5" w14:textId="77777777" w:rsidR="00B16DFE" w:rsidRDefault="009F0859">
          <w:r>
            <w:rPr>
              <w:rFonts w:ascii="Arial" w:eastAsia="Arial" w:hAnsi="Arial" w:cs="Arial"/>
              <w:sz w:val="16"/>
              <w:szCs w:val="16"/>
            </w:rPr>
            <w:t xml:space="preserve"> </w:t>
          </w:r>
        </w:p>
      </w:tc>
      <w:tc>
        <w:tcPr>
          <w:tcW w:w="900" w:type="dxa"/>
          <w:shd w:val="clear" w:color="auto" w:fill="AB091E"/>
        </w:tcPr>
        <w:p w14:paraId="3BCFC5F8" w14:textId="77777777" w:rsidR="00B16DFE" w:rsidRDefault="009F0859">
          <w:r>
            <w:rPr>
              <w:rFonts w:ascii="Arial" w:eastAsia="Arial" w:hAnsi="Arial" w:cs="Arial"/>
              <w:sz w:val="16"/>
              <w:szCs w:val="16"/>
            </w:rPr>
            <w:t xml:space="preserve"> </w:t>
          </w:r>
        </w:p>
      </w:tc>
    </w:tr>
    <w:tr w:rsidR="00B16DFE" w14:paraId="73E0323B" w14:textId="77777777">
      <w:trPr>
        <w:trHeight w:hRule="exact" w:val="520"/>
      </w:trPr>
      <w:tc>
        <w:tcPr>
          <w:tcW w:w="900" w:type="dxa"/>
          <w:shd w:val="clear" w:color="auto" w:fill="FFFFFF"/>
        </w:tcPr>
        <w:p w14:paraId="3BBFC4C2"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46EC251C"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6C588CD2"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1C1F327A" w14:textId="77777777" w:rsidR="00B16DFE" w:rsidRDefault="009F0859">
          <w:r>
            <w:rPr>
              <w:rFonts w:ascii="Arial" w:eastAsia="Arial" w:hAnsi="Arial" w:cs="Arial"/>
              <w:sz w:val="16"/>
              <w:szCs w:val="16"/>
            </w:rPr>
            <w:t xml:space="preserve"> </w:t>
          </w:r>
        </w:p>
      </w:tc>
    </w:tr>
  </w:tbl>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2B454258" w14:textId="77777777">
      <w:trPr>
        <w:trHeight w:hRule="exact" w:val="100"/>
      </w:trPr>
      <w:tc>
        <w:tcPr>
          <w:tcW w:w="900" w:type="dxa"/>
          <w:shd w:val="clear" w:color="auto" w:fill="AB091E"/>
        </w:tcPr>
        <w:p w14:paraId="0F6FCD0E" w14:textId="77777777" w:rsidR="00B16DFE" w:rsidRDefault="009F0859">
          <w:r>
            <w:rPr>
              <w:rFonts w:ascii="Arial" w:eastAsia="Arial" w:hAnsi="Arial" w:cs="Arial"/>
              <w:sz w:val="16"/>
              <w:szCs w:val="16"/>
            </w:rPr>
            <w:t xml:space="preserve"> </w:t>
          </w:r>
        </w:p>
      </w:tc>
      <w:tc>
        <w:tcPr>
          <w:tcW w:w="7700" w:type="dxa"/>
          <w:shd w:val="clear" w:color="auto" w:fill="AB091E"/>
          <w:noWrap/>
        </w:tcPr>
        <w:p w14:paraId="4F1A43B0" w14:textId="77777777" w:rsidR="00B16DFE" w:rsidRDefault="009F0859">
          <w:r>
            <w:rPr>
              <w:rFonts w:ascii="Arial" w:eastAsia="Arial" w:hAnsi="Arial" w:cs="Arial"/>
              <w:sz w:val="16"/>
              <w:szCs w:val="16"/>
            </w:rPr>
            <w:t xml:space="preserve"> </w:t>
          </w:r>
        </w:p>
      </w:tc>
      <w:tc>
        <w:tcPr>
          <w:tcW w:w="2600" w:type="dxa"/>
          <w:shd w:val="clear" w:color="auto" w:fill="AB091E"/>
        </w:tcPr>
        <w:p w14:paraId="3DA39A38" w14:textId="77777777" w:rsidR="00B16DFE" w:rsidRDefault="009F0859">
          <w:r>
            <w:rPr>
              <w:rFonts w:ascii="Arial" w:eastAsia="Arial" w:hAnsi="Arial" w:cs="Arial"/>
              <w:sz w:val="16"/>
              <w:szCs w:val="16"/>
            </w:rPr>
            <w:t xml:space="preserve"> </w:t>
          </w:r>
        </w:p>
      </w:tc>
      <w:tc>
        <w:tcPr>
          <w:tcW w:w="900" w:type="dxa"/>
          <w:shd w:val="clear" w:color="auto" w:fill="AB091E"/>
        </w:tcPr>
        <w:p w14:paraId="486023AB" w14:textId="77777777" w:rsidR="00B16DFE" w:rsidRDefault="009F0859">
          <w:r>
            <w:rPr>
              <w:rFonts w:ascii="Arial" w:eastAsia="Arial" w:hAnsi="Arial" w:cs="Arial"/>
              <w:sz w:val="16"/>
              <w:szCs w:val="16"/>
            </w:rPr>
            <w:t xml:space="preserve"> </w:t>
          </w:r>
        </w:p>
      </w:tc>
    </w:tr>
    <w:tr w:rsidR="00B16DFE" w14:paraId="163F930B" w14:textId="77777777">
      <w:trPr>
        <w:trHeight w:hRule="exact" w:val="520"/>
      </w:trPr>
      <w:tc>
        <w:tcPr>
          <w:tcW w:w="900" w:type="dxa"/>
          <w:shd w:val="clear" w:color="auto" w:fill="FFFFFF"/>
        </w:tcPr>
        <w:p w14:paraId="1B0F010A"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29A792A8"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1CB20F73"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76076F23" w14:textId="77777777" w:rsidR="00B16DFE" w:rsidRDefault="009F0859">
          <w:r>
            <w:rPr>
              <w:rFonts w:ascii="Arial" w:eastAsia="Arial" w:hAnsi="Arial" w:cs="Arial"/>
              <w:sz w:val="16"/>
              <w:szCs w:val="16"/>
            </w:rPr>
            <w:t xml:space="preserve"> </w:t>
          </w:r>
        </w:p>
      </w:tc>
    </w:tr>
  </w:tbl>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7CFE3383" w14:textId="77777777">
      <w:trPr>
        <w:trHeight w:hRule="exact" w:val="100"/>
      </w:trPr>
      <w:tc>
        <w:tcPr>
          <w:tcW w:w="900" w:type="dxa"/>
          <w:shd w:val="clear" w:color="auto" w:fill="AB091E"/>
        </w:tcPr>
        <w:p w14:paraId="58B20053" w14:textId="77777777" w:rsidR="00B16DFE" w:rsidRDefault="009F0859">
          <w:r>
            <w:rPr>
              <w:rFonts w:ascii="Arial" w:eastAsia="Arial" w:hAnsi="Arial" w:cs="Arial"/>
              <w:sz w:val="16"/>
              <w:szCs w:val="16"/>
            </w:rPr>
            <w:t xml:space="preserve"> </w:t>
          </w:r>
        </w:p>
      </w:tc>
      <w:tc>
        <w:tcPr>
          <w:tcW w:w="7700" w:type="dxa"/>
          <w:shd w:val="clear" w:color="auto" w:fill="AB091E"/>
          <w:noWrap/>
        </w:tcPr>
        <w:p w14:paraId="3FC363D8" w14:textId="77777777" w:rsidR="00B16DFE" w:rsidRDefault="009F0859">
          <w:r>
            <w:rPr>
              <w:rFonts w:ascii="Arial" w:eastAsia="Arial" w:hAnsi="Arial" w:cs="Arial"/>
              <w:sz w:val="16"/>
              <w:szCs w:val="16"/>
            </w:rPr>
            <w:t xml:space="preserve"> </w:t>
          </w:r>
        </w:p>
      </w:tc>
      <w:tc>
        <w:tcPr>
          <w:tcW w:w="2600" w:type="dxa"/>
          <w:shd w:val="clear" w:color="auto" w:fill="AB091E"/>
        </w:tcPr>
        <w:p w14:paraId="45DA1A54" w14:textId="77777777" w:rsidR="00B16DFE" w:rsidRDefault="009F0859">
          <w:r>
            <w:rPr>
              <w:rFonts w:ascii="Arial" w:eastAsia="Arial" w:hAnsi="Arial" w:cs="Arial"/>
              <w:sz w:val="16"/>
              <w:szCs w:val="16"/>
            </w:rPr>
            <w:t xml:space="preserve"> </w:t>
          </w:r>
        </w:p>
      </w:tc>
      <w:tc>
        <w:tcPr>
          <w:tcW w:w="900" w:type="dxa"/>
          <w:shd w:val="clear" w:color="auto" w:fill="AB091E"/>
        </w:tcPr>
        <w:p w14:paraId="5B30DF95" w14:textId="77777777" w:rsidR="00B16DFE" w:rsidRDefault="009F0859">
          <w:r>
            <w:rPr>
              <w:rFonts w:ascii="Arial" w:eastAsia="Arial" w:hAnsi="Arial" w:cs="Arial"/>
              <w:sz w:val="16"/>
              <w:szCs w:val="16"/>
            </w:rPr>
            <w:t xml:space="preserve"> </w:t>
          </w:r>
        </w:p>
      </w:tc>
    </w:tr>
    <w:tr w:rsidR="00B16DFE" w14:paraId="1ECA4D6B" w14:textId="77777777">
      <w:trPr>
        <w:trHeight w:hRule="exact" w:val="520"/>
      </w:trPr>
      <w:tc>
        <w:tcPr>
          <w:tcW w:w="900" w:type="dxa"/>
          <w:shd w:val="clear" w:color="auto" w:fill="FFFFFF"/>
        </w:tcPr>
        <w:p w14:paraId="3F0B275E"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29F227E0"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49F09756" w14:textId="77777777" w:rsidR="00B16DFE" w:rsidRDefault="009F0859">
          <w:pPr>
            <w:spacing w:before="160"/>
            <w:jc w:val="right"/>
          </w:pPr>
          <w:r>
            <w:rPr>
              <w:rFonts w:ascii="Arial" w:eastAsia="Arial" w:hAnsi="Arial" w:cs="Arial"/>
              <w:color w:val="5A5A61"/>
              <w:sz w:val="18"/>
              <w:szCs w:val="18"/>
            </w:rPr>
            <w:t xml:space="preserve">October </w:t>
          </w:r>
          <w:r>
            <w:rPr>
              <w:rFonts w:ascii="Arial" w:eastAsia="Arial" w:hAnsi="Arial" w:cs="Arial"/>
              <w:color w:val="5A5A61"/>
              <w:sz w:val="18"/>
              <w:szCs w:val="18"/>
            </w:rPr>
            <w:t>2020</w:t>
          </w:r>
        </w:p>
      </w:tc>
      <w:tc>
        <w:tcPr>
          <w:tcW w:w="900" w:type="dxa"/>
          <w:shd w:val="clear" w:color="auto" w:fill="FFFFFF"/>
        </w:tcPr>
        <w:p w14:paraId="2DEAABB7" w14:textId="77777777" w:rsidR="00B16DFE" w:rsidRDefault="009F0859">
          <w:r>
            <w:rPr>
              <w:rFonts w:ascii="Arial" w:eastAsia="Arial" w:hAnsi="Arial" w:cs="Arial"/>
              <w:sz w:val="16"/>
              <w:szCs w:val="16"/>
            </w:rPr>
            <w:t xml:space="preserve"> </w:t>
          </w:r>
        </w:p>
      </w:tc>
    </w:tr>
  </w:tbl>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1374EE16" w14:textId="77777777">
      <w:trPr>
        <w:trHeight w:hRule="exact" w:val="100"/>
      </w:trPr>
      <w:tc>
        <w:tcPr>
          <w:tcW w:w="900" w:type="dxa"/>
          <w:shd w:val="clear" w:color="auto" w:fill="AB091E"/>
        </w:tcPr>
        <w:p w14:paraId="3CA81C0F" w14:textId="77777777" w:rsidR="00B16DFE" w:rsidRDefault="009F0859">
          <w:r>
            <w:rPr>
              <w:rFonts w:ascii="Arial" w:eastAsia="Arial" w:hAnsi="Arial" w:cs="Arial"/>
              <w:sz w:val="16"/>
              <w:szCs w:val="16"/>
            </w:rPr>
            <w:t xml:space="preserve"> </w:t>
          </w:r>
        </w:p>
      </w:tc>
      <w:tc>
        <w:tcPr>
          <w:tcW w:w="7700" w:type="dxa"/>
          <w:shd w:val="clear" w:color="auto" w:fill="AB091E"/>
          <w:noWrap/>
        </w:tcPr>
        <w:p w14:paraId="1849309C" w14:textId="77777777" w:rsidR="00B16DFE" w:rsidRDefault="009F0859">
          <w:r>
            <w:rPr>
              <w:rFonts w:ascii="Arial" w:eastAsia="Arial" w:hAnsi="Arial" w:cs="Arial"/>
              <w:sz w:val="16"/>
              <w:szCs w:val="16"/>
            </w:rPr>
            <w:t xml:space="preserve"> </w:t>
          </w:r>
        </w:p>
      </w:tc>
      <w:tc>
        <w:tcPr>
          <w:tcW w:w="2600" w:type="dxa"/>
          <w:shd w:val="clear" w:color="auto" w:fill="AB091E"/>
        </w:tcPr>
        <w:p w14:paraId="4ADA9D40" w14:textId="77777777" w:rsidR="00B16DFE" w:rsidRDefault="009F0859">
          <w:r>
            <w:rPr>
              <w:rFonts w:ascii="Arial" w:eastAsia="Arial" w:hAnsi="Arial" w:cs="Arial"/>
              <w:sz w:val="16"/>
              <w:szCs w:val="16"/>
            </w:rPr>
            <w:t xml:space="preserve"> </w:t>
          </w:r>
        </w:p>
      </w:tc>
      <w:tc>
        <w:tcPr>
          <w:tcW w:w="900" w:type="dxa"/>
          <w:shd w:val="clear" w:color="auto" w:fill="AB091E"/>
        </w:tcPr>
        <w:p w14:paraId="3FCF6C27" w14:textId="77777777" w:rsidR="00B16DFE" w:rsidRDefault="009F0859">
          <w:r>
            <w:rPr>
              <w:rFonts w:ascii="Arial" w:eastAsia="Arial" w:hAnsi="Arial" w:cs="Arial"/>
              <w:sz w:val="16"/>
              <w:szCs w:val="16"/>
            </w:rPr>
            <w:t xml:space="preserve"> </w:t>
          </w:r>
        </w:p>
      </w:tc>
    </w:tr>
    <w:tr w:rsidR="00B16DFE" w14:paraId="4F2AE7A2" w14:textId="77777777">
      <w:trPr>
        <w:trHeight w:hRule="exact" w:val="520"/>
      </w:trPr>
      <w:tc>
        <w:tcPr>
          <w:tcW w:w="900" w:type="dxa"/>
          <w:shd w:val="clear" w:color="auto" w:fill="FFFFFF"/>
        </w:tcPr>
        <w:p w14:paraId="07DE7446"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7C1F5055"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5859C1D7"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066E43C7" w14:textId="77777777" w:rsidR="00B16DFE" w:rsidRDefault="009F0859">
          <w:r>
            <w:rPr>
              <w:rFonts w:ascii="Arial" w:eastAsia="Arial" w:hAnsi="Arial" w:cs="Arial"/>
              <w:sz w:val="16"/>
              <w:szCs w:val="16"/>
            </w:rPr>
            <w:t xml:space="preserve"> </w:t>
          </w:r>
        </w:p>
      </w:tc>
    </w:tr>
  </w:tbl>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20D44088" w14:textId="77777777">
      <w:trPr>
        <w:trHeight w:hRule="exact" w:val="100"/>
      </w:trPr>
      <w:tc>
        <w:tcPr>
          <w:tcW w:w="900" w:type="dxa"/>
          <w:shd w:val="clear" w:color="auto" w:fill="AB091E"/>
        </w:tcPr>
        <w:p w14:paraId="1F7C7DE2" w14:textId="77777777" w:rsidR="00B16DFE" w:rsidRDefault="009F0859">
          <w:r>
            <w:rPr>
              <w:rFonts w:ascii="Arial" w:eastAsia="Arial" w:hAnsi="Arial" w:cs="Arial"/>
              <w:sz w:val="16"/>
              <w:szCs w:val="16"/>
            </w:rPr>
            <w:t xml:space="preserve"> </w:t>
          </w:r>
        </w:p>
      </w:tc>
      <w:tc>
        <w:tcPr>
          <w:tcW w:w="7700" w:type="dxa"/>
          <w:shd w:val="clear" w:color="auto" w:fill="AB091E"/>
          <w:noWrap/>
        </w:tcPr>
        <w:p w14:paraId="05F6066B" w14:textId="77777777" w:rsidR="00B16DFE" w:rsidRDefault="009F0859">
          <w:r>
            <w:rPr>
              <w:rFonts w:ascii="Arial" w:eastAsia="Arial" w:hAnsi="Arial" w:cs="Arial"/>
              <w:sz w:val="16"/>
              <w:szCs w:val="16"/>
            </w:rPr>
            <w:t xml:space="preserve"> </w:t>
          </w:r>
        </w:p>
      </w:tc>
      <w:tc>
        <w:tcPr>
          <w:tcW w:w="2600" w:type="dxa"/>
          <w:shd w:val="clear" w:color="auto" w:fill="AB091E"/>
        </w:tcPr>
        <w:p w14:paraId="4A60FD01" w14:textId="77777777" w:rsidR="00B16DFE" w:rsidRDefault="009F0859">
          <w:r>
            <w:rPr>
              <w:rFonts w:ascii="Arial" w:eastAsia="Arial" w:hAnsi="Arial" w:cs="Arial"/>
              <w:sz w:val="16"/>
              <w:szCs w:val="16"/>
            </w:rPr>
            <w:t xml:space="preserve"> </w:t>
          </w:r>
        </w:p>
      </w:tc>
      <w:tc>
        <w:tcPr>
          <w:tcW w:w="900" w:type="dxa"/>
          <w:shd w:val="clear" w:color="auto" w:fill="AB091E"/>
        </w:tcPr>
        <w:p w14:paraId="05D6E9CE" w14:textId="77777777" w:rsidR="00B16DFE" w:rsidRDefault="009F0859">
          <w:r>
            <w:rPr>
              <w:rFonts w:ascii="Arial" w:eastAsia="Arial" w:hAnsi="Arial" w:cs="Arial"/>
              <w:sz w:val="16"/>
              <w:szCs w:val="16"/>
            </w:rPr>
            <w:t xml:space="preserve"> </w:t>
          </w:r>
        </w:p>
      </w:tc>
    </w:tr>
    <w:tr w:rsidR="00B16DFE" w14:paraId="4BF40F8F" w14:textId="77777777">
      <w:trPr>
        <w:trHeight w:hRule="exact" w:val="520"/>
      </w:trPr>
      <w:tc>
        <w:tcPr>
          <w:tcW w:w="900" w:type="dxa"/>
          <w:shd w:val="clear" w:color="auto" w:fill="FFFFFF"/>
        </w:tcPr>
        <w:p w14:paraId="09BC59D5"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19CEEB3E"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3223591B"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111E2166" w14:textId="77777777" w:rsidR="00B16DFE" w:rsidRDefault="009F0859">
          <w:r>
            <w:rPr>
              <w:rFonts w:ascii="Arial" w:eastAsia="Arial" w:hAnsi="Arial" w:cs="Arial"/>
              <w:sz w:val="16"/>
              <w:szCs w:val="16"/>
            </w:rPr>
            <w:t xml:space="preserve"> </w:t>
          </w:r>
        </w:p>
      </w:tc>
    </w:tr>
  </w:tbl>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4A58A059" w14:textId="77777777">
      <w:trPr>
        <w:trHeight w:hRule="exact" w:val="100"/>
      </w:trPr>
      <w:tc>
        <w:tcPr>
          <w:tcW w:w="900" w:type="dxa"/>
          <w:shd w:val="clear" w:color="auto" w:fill="AB091E"/>
        </w:tcPr>
        <w:p w14:paraId="322DE424" w14:textId="77777777" w:rsidR="00B16DFE" w:rsidRDefault="009F0859">
          <w:r>
            <w:rPr>
              <w:rFonts w:ascii="Arial" w:eastAsia="Arial" w:hAnsi="Arial" w:cs="Arial"/>
              <w:sz w:val="16"/>
              <w:szCs w:val="16"/>
            </w:rPr>
            <w:t xml:space="preserve"> </w:t>
          </w:r>
        </w:p>
      </w:tc>
      <w:tc>
        <w:tcPr>
          <w:tcW w:w="7700" w:type="dxa"/>
          <w:shd w:val="clear" w:color="auto" w:fill="AB091E"/>
          <w:noWrap/>
        </w:tcPr>
        <w:p w14:paraId="25960C53" w14:textId="77777777" w:rsidR="00B16DFE" w:rsidRDefault="009F0859">
          <w:r>
            <w:rPr>
              <w:rFonts w:ascii="Arial" w:eastAsia="Arial" w:hAnsi="Arial" w:cs="Arial"/>
              <w:sz w:val="16"/>
              <w:szCs w:val="16"/>
            </w:rPr>
            <w:t xml:space="preserve"> </w:t>
          </w:r>
        </w:p>
      </w:tc>
      <w:tc>
        <w:tcPr>
          <w:tcW w:w="2600" w:type="dxa"/>
          <w:shd w:val="clear" w:color="auto" w:fill="AB091E"/>
        </w:tcPr>
        <w:p w14:paraId="08639E6D" w14:textId="77777777" w:rsidR="00B16DFE" w:rsidRDefault="009F0859">
          <w:r>
            <w:rPr>
              <w:rFonts w:ascii="Arial" w:eastAsia="Arial" w:hAnsi="Arial" w:cs="Arial"/>
              <w:sz w:val="16"/>
              <w:szCs w:val="16"/>
            </w:rPr>
            <w:t xml:space="preserve"> </w:t>
          </w:r>
        </w:p>
      </w:tc>
      <w:tc>
        <w:tcPr>
          <w:tcW w:w="900" w:type="dxa"/>
          <w:shd w:val="clear" w:color="auto" w:fill="AB091E"/>
        </w:tcPr>
        <w:p w14:paraId="70C18001" w14:textId="77777777" w:rsidR="00B16DFE" w:rsidRDefault="009F0859">
          <w:r>
            <w:rPr>
              <w:rFonts w:ascii="Arial" w:eastAsia="Arial" w:hAnsi="Arial" w:cs="Arial"/>
              <w:sz w:val="16"/>
              <w:szCs w:val="16"/>
            </w:rPr>
            <w:t xml:space="preserve"> </w:t>
          </w:r>
        </w:p>
      </w:tc>
    </w:tr>
    <w:tr w:rsidR="00B16DFE" w14:paraId="5A270B03" w14:textId="77777777">
      <w:trPr>
        <w:trHeight w:hRule="exact" w:val="520"/>
      </w:trPr>
      <w:tc>
        <w:tcPr>
          <w:tcW w:w="900" w:type="dxa"/>
          <w:shd w:val="clear" w:color="auto" w:fill="FFFFFF"/>
        </w:tcPr>
        <w:p w14:paraId="450C4515"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02C30CCD" w14:textId="77777777" w:rsidR="00B16DFE" w:rsidRDefault="009F0859">
          <w:pPr>
            <w:spacing w:before="160"/>
          </w:pPr>
          <w:r>
            <w:rPr>
              <w:rFonts w:ascii="Arial" w:eastAsia="Arial" w:hAnsi="Arial" w:cs="Arial"/>
              <w:color w:val="5A5A61"/>
              <w:sz w:val="18"/>
              <w:szCs w:val="18"/>
            </w:rPr>
            <w:t xml:space="preserve">Travel </w:t>
          </w:r>
          <w:r>
            <w:rPr>
              <w:rFonts w:ascii="Arial" w:eastAsia="Arial" w:hAnsi="Arial" w:cs="Arial"/>
              <w:color w:val="5A5A61"/>
              <w:sz w:val="18"/>
              <w:szCs w:val="18"/>
            </w:rPr>
            <w:t>Agencies in the UK</w:t>
          </w:r>
        </w:p>
      </w:tc>
      <w:tc>
        <w:tcPr>
          <w:tcW w:w="7700" w:type="dxa"/>
          <w:shd w:val="clear" w:color="auto" w:fill="FFFFFF"/>
          <w:vAlign w:val="center"/>
        </w:tcPr>
        <w:p w14:paraId="0FCEC39B"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0A32CE75" w14:textId="77777777" w:rsidR="00B16DFE" w:rsidRDefault="009F0859">
          <w:r>
            <w:rPr>
              <w:rFonts w:ascii="Arial" w:eastAsia="Arial" w:hAnsi="Arial" w:cs="Arial"/>
              <w:sz w:val="16"/>
              <w:szCs w:val="16"/>
            </w:rPr>
            <w:t xml:space="preserve"> </w:t>
          </w:r>
        </w:p>
      </w:tc>
    </w:tr>
  </w:tbl>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3BFDDC7F" w14:textId="77777777">
      <w:trPr>
        <w:trHeight w:hRule="exact" w:val="100"/>
      </w:trPr>
      <w:tc>
        <w:tcPr>
          <w:tcW w:w="900" w:type="dxa"/>
          <w:shd w:val="clear" w:color="auto" w:fill="AB091E"/>
        </w:tcPr>
        <w:p w14:paraId="5D1D0265" w14:textId="77777777" w:rsidR="00B16DFE" w:rsidRDefault="009F0859">
          <w:r>
            <w:rPr>
              <w:rFonts w:ascii="Arial" w:eastAsia="Arial" w:hAnsi="Arial" w:cs="Arial"/>
              <w:sz w:val="16"/>
              <w:szCs w:val="16"/>
            </w:rPr>
            <w:t xml:space="preserve"> </w:t>
          </w:r>
        </w:p>
      </w:tc>
      <w:tc>
        <w:tcPr>
          <w:tcW w:w="7700" w:type="dxa"/>
          <w:shd w:val="clear" w:color="auto" w:fill="AB091E"/>
          <w:noWrap/>
        </w:tcPr>
        <w:p w14:paraId="3CF1C272" w14:textId="77777777" w:rsidR="00B16DFE" w:rsidRDefault="009F0859">
          <w:r>
            <w:rPr>
              <w:rFonts w:ascii="Arial" w:eastAsia="Arial" w:hAnsi="Arial" w:cs="Arial"/>
              <w:sz w:val="16"/>
              <w:szCs w:val="16"/>
            </w:rPr>
            <w:t xml:space="preserve"> </w:t>
          </w:r>
        </w:p>
      </w:tc>
      <w:tc>
        <w:tcPr>
          <w:tcW w:w="2600" w:type="dxa"/>
          <w:shd w:val="clear" w:color="auto" w:fill="AB091E"/>
        </w:tcPr>
        <w:p w14:paraId="21BD5C84" w14:textId="77777777" w:rsidR="00B16DFE" w:rsidRDefault="009F0859">
          <w:r>
            <w:rPr>
              <w:rFonts w:ascii="Arial" w:eastAsia="Arial" w:hAnsi="Arial" w:cs="Arial"/>
              <w:sz w:val="16"/>
              <w:szCs w:val="16"/>
            </w:rPr>
            <w:t xml:space="preserve"> </w:t>
          </w:r>
        </w:p>
      </w:tc>
      <w:tc>
        <w:tcPr>
          <w:tcW w:w="900" w:type="dxa"/>
          <w:shd w:val="clear" w:color="auto" w:fill="AB091E"/>
        </w:tcPr>
        <w:p w14:paraId="78930A44" w14:textId="77777777" w:rsidR="00B16DFE" w:rsidRDefault="009F0859">
          <w:r>
            <w:rPr>
              <w:rFonts w:ascii="Arial" w:eastAsia="Arial" w:hAnsi="Arial" w:cs="Arial"/>
              <w:sz w:val="16"/>
              <w:szCs w:val="16"/>
            </w:rPr>
            <w:t xml:space="preserve"> </w:t>
          </w:r>
        </w:p>
      </w:tc>
    </w:tr>
    <w:tr w:rsidR="00B16DFE" w14:paraId="49ACE12E" w14:textId="77777777">
      <w:trPr>
        <w:trHeight w:hRule="exact" w:val="520"/>
      </w:trPr>
      <w:tc>
        <w:tcPr>
          <w:tcW w:w="900" w:type="dxa"/>
          <w:shd w:val="clear" w:color="auto" w:fill="FFFFFF"/>
        </w:tcPr>
        <w:p w14:paraId="1500CF7A"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5B243EE8"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188E1DFB"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1F20D58A" w14:textId="77777777" w:rsidR="00B16DFE" w:rsidRDefault="009F0859">
          <w:r>
            <w:rPr>
              <w:rFonts w:ascii="Arial" w:eastAsia="Arial" w:hAnsi="Arial" w:cs="Arial"/>
              <w:sz w:val="16"/>
              <w:szCs w:val="16"/>
            </w:rPr>
            <w:t xml:space="preserve"> </w:t>
          </w:r>
        </w:p>
      </w:tc>
    </w:tr>
  </w:tbl>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1BAF0B54" w14:textId="77777777">
      <w:trPr>
        <w:trHeight w:hRule="exact" w:val="100"/>
      </w:trPr>
      <w:tc>
        <w:tcPr>
          <w:tcW w:w="900" w:type="dxa"/>
          <w:shd w:val="clear" w:color="auto" w:fill="AB091E"/>
        </w:tcPr>
        <w:p w14:paraId="4FEF087F" w14:textId="77777777" w:rsidR="00B16DFE" w:rsidRDefault="009F0859">
          <w:r>
            <w:rPr>
              <w:rFonts w:ascii="Arial" w:eastAsia="Arial" w:hAnsi="Arial" w:cs="Arial"/>
              <w:sz w:val="16"/>
              <w:szCs w:val="16"/>
            </w:rPr>
            <w:t xml:space="preserve"> </w:t>
          </w:r>
        </w:p>
      </w:tc>
      <w:tc>
        <w:tcPr>
          <w:tcW w:w="7700" w:type="dxa"/>
          <w:shd w:val="clear" w:color="auto" w:fill="AB091E"/>
          <w:noWrap/>
        </w:tcPr>
        <w:p w14:paraId="2025E0D5" w14:textId="77777777" w:rsidR="00B16DFE" w:rsidRDefault="009F0859">
          <w:r>
            <w:rPr>
              <w:rFonts w:ascii="Arial" w:eastAsia="Arial" w:hAnsi="Arial" w:cs="Arial"/>
              <w:sz w:val="16"/>
              <w:szCs w:val="16"/>
            </w:rPr>
            <w:t xml:space="preserve"> </w:t>
          </w:r>
        </w:p>
      </w:tc>
      <w:tc>
        <w:tcPr>
          <w:tcW w:w="2600" w:type="dxa"/>
          <w:shd w:val="clear" w:color="auto" w:fill="AB091E"/>
        </w:tcPr>
        <w:p w14:paraId="682F060C" w14:textId="77777777" w:rsidR="00B16DFE" w:rsidRDefault="009F0859">
          <w:r>
            <w:rPr>
              <w:rFonts w:ascii="Arial" w:eastAsia="Arial" w:hAnsi="Arial" w:cs="Arial"/>
              <w:sz w:val="16"/>
              <w:szCs w:val="16"/>
            </w:rPr>
            <w:t xml:space="preserve"> </w:t>
          </w:r>
        </w:p>
      </w:tc>
      <w:tc>
        <w:tcPr>
          <w:tcW w:w="900" w:type="dxa"/>
          <w:shd w:val="clear" w:color="auto" w:fill="AB091E"/>
        </w:tcPr>
        <w:p w14:paraId="6F07DCD0" w14:textId="77777777" w:rsidR="00B16DFE" w:rsidRDefault="009F0859">
          <w:r>
            <w:rPr>
              <w:rFonts w:ascii="Arial" w:eastAsia="Arial" w:hAnsi="Arial" w:cs="Arial"/>
              <w:sz w:val="16"/>
              <w:szCs w:val="16"/>
            </w:rPr>
            <w:t xml:space="preserve"> </w:t>
          </w:r>
        </w:p>
      </w:tc>
    </w:tr>
    <w:tr w:rsidR="00B16DFE" w14:paraId="13725A5C" w14:textId="77777777">
      <w:trPr>
        <w:trHeight w:hRule="exact" w:val="520"/>
      </w:trPr>
      <w:tc>
        <w:tcPr>
          <w:tcW w:w="900" w:type="dxa"/>
          <w:shd w:val="clear" w:color="auto" w:fill="FFFFFF"/>
        </w:tcPr>
        <w:p w14:paraId="2552616C"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64701FC8" w14:textId="77777777" w:rsidR="00B16DFE" w:rsidRDefault="009F0859">
          <w:pPr>
            <w:spacing w:before="160"/>
          </w:pPr>
          <w:r>
            <w:rPr>
              <w:rFonts w:ascii="Arial" w:eastAsia="Arial" w:hAnsi="Arial" w:cs="Arial"/>
              <w:color w:val="5A5A61"/>
              <w:sz w:val="18"/>
              <w:szCs w:val="18"/>
            </w:rPr>
            <w:t>Travel Agencies in the UK</w:t>
          </w:r>
        </w:p>
      </w:tc>
      <w:tc>
        <w:tcPr>
          <w:tcW w:w="7700" w:type="dxa"/>
          <w:shd w:val="clear" w:color="auto" w:fill="FFFFFF"/>
          <w:vAlign w:val="center"/>
        </w:tcPr>
        <w:p w14:paraId="3C803AA9"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1E573AAA" w14:textId="77777777" w:rsidR="00B16DFE" w:rsidRDefault="009F0859">
          <w:r>
            <w:rPr>
              <w:rFonts w:ascii="Arial" w:eastAsia="Arial" w:hAnsi="Arial" w:cs="Arial"/>
              <w:sz w:val="16"/>
              <w:szCs w:val="16"/>
            </w:rPr>
            <w:t xml:space="preserve"> </w:t>
          </w:r>
        </w:p>
      </w:tc>
    </w:tr>
  </w:tbl>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W w:w="12000" w:type="dxa"/>
      <w:tblLook w:val="04A0" w:firstRow="1" w:lastRow="0" w:firstColumn="1" w:lastColumn="0" w:noHBand="0" w:noVBand="1"/>
    </w:tblPr>
    <w:tblGrid>
      <w:gridCol w:w="470"/>
      <w:gridCol w:w="7700"/>
      <w:gridCol w:w="3360"/>
      <w:gridCol w:w="470"/>
    </w:tblGrid>
    <w:tr w:rsidR="00B16DFE" w14:paraId="26C10AAC" w14:textId="77777777">
      <w:trPr>
        <w:trHeight w:hRule="exact" w:val="100"/>
      </w:trPr>
      <w:tc>
        <w:tcPr>
          <w:tcW w:w="900" w:type="dxa"/>
          <w:shd w:val="clear" w:color="auto" w:fill="AB091E"/>
        </w:tcPr>
        <w:p w14:paraId="1ADFAD05" w14:textId="77777777" w:rsidR="00B16DFE" w:rsidRDefault="009F0859">
          <w:r>
            <w:rPr>
              <w:rFonts w:ascii="Arial" w:eastAsia="Arial" w:hAnsi="Arial" w:cs="Arial"/>
              <w:sz w:val="16"/>
              <w:szCs w:val="16"/>
            </w:rPr>
            <w:t xml:space="preserve"> </w:t>
          </w:r>
        </w:p>
      </w:tc>
      <w:tc>
        <w:tcPr>
          <w:tcW w:w="7700" w:type="dxa"/>
          <w:shd w:val="clear" w:color="auto" w:fill="AB091E"/>
          <w:noWrap/>
        </w:tcPr>
        <w:p w14:paraId="11FD677F" w14:textId="77777777" w:rsidR="00B16DFE" w:rsidRDefault="009F0859">
          <w:r>
            <w:rPr>
              <w:rFonts w:ascii="Arial" w:eastAsia="Arial" w:hAnsi="Arial" w:cs="Arial"/>
              <w:sz w:val="16"/>
              <w:szCs w:val="16"/>
            </w:rPr>
            <w:t xml:space="preserve"> </w:t>
          </w:r>
        </w:p>
      </w:tc>
      <w:tc>
        <w:tcPr>
          <w:tcW w:w="2600" w:type="dxa"/>
          <w:shd w:val="clear" w:color="auto" w:fill="AB091E"/>
        </w:tcPr>
        <w:p w14:paraId="41781BF9" w14:textId="77777777" w:rsidR="00B16DFE" w:rsidRDefault="009F0859">
          <w:r>
            <w:rPr>
              <w:rFonts w:ascii="Arial" w:eastAsia="Arial" w:hAnsi="Arial" w:cs="Arial"/>
              <w:sz w:val="16"/>
              <w:szCs w:val="16"/>
            </w:rPr>
            <w:t xml:space="preserve"> </w:t>
          </w:r>
        </w:p>
      </w:tc>
      <w:tc>
        <w:tcPr>
          <w:tcW w:w="900" w:type="dxa"/>
          <w:shd w:val="clear" w:color="auto" w:fill="AB091E"/>
        </w:tcPr>
        <w:p w14:paraId="37D5F912" w14:textId="77777777" w:rsidR="00B16DFE" w:rsidRDefault="009F0859">
          <w:r>
            <w:rPr>
              <w:rFonts w:ascii="Arial" w:eastAsia="Arial" w:hAnsi="Arial" w:cs="Arial"/>
              <w:sz w:val="16"/>
              <w:szCs w:val="16"/>
            </w:rPr>
            <w:t xml:space="preserve"> </w:t>
          </w:r>
        </w:p>
      </w:tc>
    </w:tr>
    <w:tr w:rsidR="00B16DFE" w14:paraId="1D83E035" w14:textId="77777777">
      <w:trPr>
        <w:trHeight w:hRule="exact" w:val="520"/>
      </w:trPr>
      <w:tc>
        <w:tcPr>
          <w:tcW w:w="900" w:type="dxa"/>
          <w:shd w:val="clear" w:color="auto" w:fill="FFFFFF"/>
        </w:tcPr>
        <w:p w14:paraId="56C327DF" w14:textId="77777777" w:rsidR="00B16DFE" w:rsidRDefault="009F0859">
          <w:r>
            <w:rPr>
              <w:rFonts w:ascii="Arial" w:eastAsia="Arial" w:hAnsi="Arial" w:cs="Arial"/>
              <w:sz w:val="16"/>
              <w:szCs w:val="16"/>
            </w:rPr>
            <w:t xml:space="preserve"> </w:t>
          </w:r>
        </w:p>
      </w:tc>
      <w:tc>
        <w:tcPr>
          <w:tcW w:w="7700" w:type="dxa"/>
          <w:shd w:val="clear" w:color="auto" w:fill="FFFFFF"/>
          <w:vAlign w:val="center"/>
        </w:tcPr>
        <w:p w14:paraId="17DD897B" w14:textId="77777777" w:rsidR="00B16DFE" w:rsidRDefault="009F0859">
          <w:pPr>
            <w:spacing w:before="160"/>
          </w:pPr>
          <w:r>
            <w:rPr>
              <w:rFonts w:ascii="Arial" w:eastAsia="Arial" w:hAnsi="Arial" w:cs="Arial"/>
              <w:color w:val="5A5A61"/>
              <w:sz w:val="18"/>
              <w:szCs w:val="18"/>
            </w:rPr>
            <w:t xml:space="preserve">Travel </w:t>
          </w:r>
          <w:r>
            <w:rPr>
              <w:rFonts w:ascii="Arial" w:eastAsia="Arial" w:hAnsi="Arial" w:cs="Arial"/>
              <w:color w:val="5A5A61"/>
              <w:sz w:val="18"/>
              <w:szCs w:val="18"/>
            </w:rPr>
            <w:t>Agencies in the UK</w:t>
          </w:r>
        </w:p>
      </w:tc>
      <w:tc>
        <w:tcPr>
          <w:tcW w:w="7700" w:type="dxa"/>
          <w:shd w:val="clear" w:color="auto" w:fill="FFFFFF"/>
          <w:vAlign w:val="center"/>
        </w:tcPr>
        <w:p w14:paraId="28EFE3A4" w14:textId="77777777" w:rsidR="00B16DFE" w:rsidRDefault="009F0859">
          <w:pPr>
            <w:spacing w:before="160"/>
            <w:jc w:val="right"/>
          </w:pPr>
          <w:r>
            <w:rPr>
              <w:rFonts w:ascii="Arial" w:eastAsia="Arial" w:hAnsi="Arial" w:cs="Arial"/>
              <w:color w:val="5A5A61"/>
              <w:sz w:val="18"/>
              <w:szCs w:val="18"/>
            </w:rPr>
            <w:t>October 2020</w:t>
          </w:r>
        </w:p>
      </w:tc>
      <w:tc>
        <w:tcPr>
          <w:tcW w:w="900" w:type="dxa"/>
          <w:shd w:val="clear" w:color="auto" w:fill="FFFFFF"/>
        </w:tcPr>
        <w:p w14:paraId="15FCC7A6" w14:textId="77777777" w:rsidR="00B16DFE" w:rsidRDefault="009F0859">
          <w:r>
            <w:rPr>
              <w:rFonts w:ascii="Arial" w:eastAsia="Arial" w:hAnsi="Arial" w:cs="Arial"/>
              <w:sz w:val="16"/>
              <w:szCs w:val="16"/>
            </w:rPr>
            <w:t xml:space="preserve"> </w:t>
          </w:r>
        </w:p>
      </w:tc>
    </w:tr>
  </w:tbl>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88CB5" w14:textId="77777777" w:rsidR="00000000" w:rsidRDefault="009F0859">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A14EC5"/>
    <w:multiLevelType w:val="hybridMultilevel"/>
    <w:tmpl w:val="263AC92C"/>
    <w:lvl w:ilvl="0" w:tplc="483C8670">
      <w:start w:val="1"/>
      <w:numFmt w:val="none"/>
      <w:lvlText w:val=" "/>
      <w:lvlJc w:val="left"/>
      <w:pPr>
        <w:ind w:left="1080" w:hanging="360"/>
      </w:pPr>
    </w:lvl>
    <w:lvl w:ilvl="1" w:tplc="DB48FA74">
      <w:start w:val="1"/>
      <w:numFmt w:val="none"/>
      <w:lvlText w:val=" "/>
      <w:lvlJc w:val="left"/>
      <w:pPr>
        <w:ind w:left="1800" w:hanging="360"/>
      </w:pPr>
    </w:lvl>
    <w:lvl w:ilvl="2" w:tplc="F4924100">
      <w:start w:val="1"/>
      <w:numFmt w:val="none"/>
      <w:lvlText w:val=" "/>
      <w:lvlJc w:val="left"/>
      <w:pPr>
        <w:ind w:left="2520" w:hanging="360"/>
      </w:pPr>
    </w:lvl>
    <w:lvl w:ilvl="3" w:tplc="035895EE">
      <w:start w:val="1"/>
      <w:numFmt w:val="none"/>
      <w:lvlText w:val=" "/>
      <w:lvlJc w:val="left"/>
      <w:pPr>
        <w:ind w:left="3240" w:hanging="360"/>
      </w:pPr>
    </w:lvl>
    <w:lvl w:ilvl="4" w:tplc="7720879A">
      <w:start w:val="1"/>
      <w:numFmt w:val="none"/>
      <w:lvlText w:val=" "/>
      <w:lvlJc w:val="left"/>
      <w:pPr>
        <w:ind w:left="3960" w:hanging="360"/>
      </w:pPr>
    </w:lvl>
    <w:lvl w:ilvl="5" w:tplc="C76891B6">
      <w:start w:val="1"/>
      <w:numFmt w:val="none"/>
      <w:lvlText w:val=" "/>
      <w:lvlJc w:val="left"/>
      <w:pPr>
        <w:ind w:left="4680" w:hanging="360"/>
      </w:pPr>
    </w:lvl>
    <w:lvl w:ilvl="6" w:tplc="6AD4DFF6">
      <w:start w:val="1"/>
      <w:numFmt w:val="none"/>
      <w:lvlText w:val=" "/>
      <w:lvlJc w:val="left"/>
      <w:pPr>
        <w:ind w:left="5400" w:hanging="360"/>
      </w:pPr>
    </w:lvl>
    <w:lvl w:ilvl="7" w:tplc="7E76F632">
      <w:start w:val="1"/>
      <w:numFmt w:val="none"/>
      <w:lvlText w:val=" "/>
      <w:lvlJc w:val="left"/>
      <w:pPr>
        <w:ind w:left="6120" w:hanging="360"/>
      </w:pPr>
    </w:lvl>
    <w:lvl w:ilvl="8" w:tplc="9E12B6E2">
      <w:start w:val="1"/>
      <w:numFmt w:val="none"/>
      <w:lvlText w:val=" "/>
      <w:lvlJc w:val="left"/>
      <w:pPr>
        <w:ind w:left="6840" w:hanging="360"/>
      </w:pPr>
    </w:lvl>
  </w:abstractNum>
  <w:abstractNum w:abstractNumId="1" w15:restartNumberingAfterBreak="0">
    <w:nsid w:val="208D7580"/>
    <w:multiLevelType w:val="hybridMultilevel"/>
    <w:tmpl w:val="0D8064B0"/>
    <w:lvl w:ilvl="0" w:tplc="295E4CA0">
      <w:start w:val="1"/>
      <w:numFmt w:val="bullet"/>
      <w:lvlText w:val=""/>
      <w:lvlJc w:val="left"/>
      <w:pPr>
        <w:ind w:left="1080" w:hanging="360"/>
      </w:pPr>
      <w:rPr>
        <w:rFonts w:ascii="Symbol" w:eastAsia="Symbol" w:hAnsi="Symbol" w:cs="Symbol"/>
      </w:rPr>
    </w:lvl>
    <w:lvl w:ilvl="1" w:tplc="023C01DE">
      <w:start w:val="1"/>
      <w:numFmt w:val="bullet"/>
      <w:lvlText w:val="o"/>
      <w:lvlJc w:val="left"/>
      <w:pPr>
        <w:ind w:left="1800" w:hanging="360"/>
      </w:pPr>
      <w:rPr>
        <w:rFonts w:ascii="Courier New" w:eastAsia="Courier New" w:hAnsi="Courier New" w:cs="Courier New"/>
      </w:rPr>
    </w:lvl>
    <w:lvl w:ilvl="2" w:tplc="0FFC7C48">
      <w:start w:val="1"/>
      <w:numFmt w:val="bullet"/>
      <w:lvlText w:val=""/>
      <w:lvlJc w:val="left"/>
      <w:pPr>
        <w:ind w:left="2520" w:hanging="360"/>
      </w:pPr>
      <w:rPr>
        <w:rFonts w:ascii="Wingdings" w:eastAsia="Wingdings" w:hAnsi="Wingdings" w:cs="Wingdings"/>
      </w:rPr>
    </w:lvl>
    <w:lvl w:ilvl="3" w:tplc="433E2E76">
      <w:start w:val="1"/>
      <w:numFmt w:val="bullet"/>
      <w:lvlText w:val=""/>
      <w:lvlJc w:val="left"/>
      <w:pPr>
        <w:ind w:left="3240" w:hanging="360"/>
      </w:pPr>
      <w:rPr>
        <w:rFonts w:ascii="Symbol" w:eastAsia="Symbol" w:hAnsi="Symbol" w:cs="Symbol"/>
      </w:rPr>
    </w:lvl>
    <w:lvl w:ilvl="4" w:tplc="D682E8F4">
      <w:start w:val="1"/>
      <w:numFmt w:val="bullet"/>
      <w:lvlText w:val="o"/>
      <w:lvlJc w:val="left"/>
      <w:pPr>
        <w:ind w:left="3960" w:hanging="360"/>
      </w:pPr>
      <w:rPr>
        <w:rFonts w:ascii="Courier New" w:eastAsia="Courier New" w:hAnsi="Courier New" w:cs="Courier New"/>
      </w:rPr>
    </w:lvl>
    <w:lvl w:ilvl="5" w:tplc="7D524EF6">
      <w:start w:val="1"/>
      <w:numFmt w:val="bullet"/>
      <w:lvlText w:val=""/>
      <w:lvlJc w:val="left"/>
      <w:pPr>
        <w:ind w:left="4680" w:hanging="360"/>
      </w:pPr>
      <w:rPr>
        <w:rFonts w:ascii="Wingdings" w:eastAsia="Wingdings" w:hAnsi="Wingdings" w:cs="Wingdings"/>
      </w:rPr>
    </w:lvl>
    <w:lvl w:ilvl="6" w:tplc="95E866E6">
      <w:start w:val="1"/>
      <w:numFmt w:val="bullet"/>
      <w:lvlText w:val=""/>
      <w:lvlJc w:val="left"/>
      <w:pPr>
        <w:ind w:left="5400" w:hanging="360"/>
      </w:pPr>
      <w:rPr>
        <w:rFonts w:ascii="Symbol" w:eastAsia="Symbol" w:hAnsi="Symbol" w:cs="Symbol"/>
      </w:rPr>
    </w:lvl>
    <w:lvl w:ilvl="7" w:tplc="E7F8B63A">
      <w:start w:val="1"/>
      <w:numFmt w:val="bullet"/>
      <w:lvlText w:val="o"/>
      <w:lvlJc w:val="left"/>
      <w:pPr>
        <w:ind w:left="6120" w:hanging="360"/>
      </w:pPr>
      <w:rPr>
        <w:rFonts w:ascii="Courier New" w:eastAsia="Courier New" w:hAnsi="Courier New" w:cs="Courier New"/>
      </w:rPr>
    </w:lvl>
    <w:lvl w:ilvl="8" w:tplc="63E27284">
      <w:start w:val="1"/>
      <w:numFmt w:val="bullet"/>
      <w:lvlText w:val=""/>
      <w:lvlJc w:val="left"/>
      <w:pPr>
        <w:ind w:left="6840" w:hanging="360"/>
      </w:pPr>
      <w:rPr>
        <w:rFonts w:ascii="Wingdings" w:eastAsia="Wingdings" w:hAnsi="Wingdings" w:cs="Wingdings"/>
      </w:rPr>
    </w:lvl>
  </w:abstractNum>
  <w:abstractNum w:abstractNumId="2" w15:restartNumberingAfterBreak="0">
    <w:nsid w:val="49075BCF"/>
    <w:multiLevelType w:val="hybridMultilevel"/>
    <w:tmpl w:val="9AEE210C"/>
    <w:lvl w:ilvl="0" w:tplc="1472AF7C">
      <w:start w:val="1"/>
      <w:numFmt w:val="none"/>
      <w:lvlText w:val=" "/>
      <w:lvlJc w:val="left"/>
      <w:pPr>
        <w:ind w:left="1080" w:hanging="360"/>
      </w:pPr>
    </w:lvl>
    <w:lvl w:ilvl="1" w:tplc="DA709DA6">
      <w:start w:val="1"/>
      <w:numFmt w:val="none"/>
      <w:lvlText w:val=" "/>
      <w:lvlJc w:val="left"/>
      <w:pPr>
        <w:ind w:left="1800" w:hanging="360"/>
      </w:pPr>
    </w:lvl>
    <w:lvl w:ilvl="2" w:tplc="5D1EE422">
      <w:start w:val="1"/>
      <w:numFmt w:val="none"/>
      <w:lvlText w:val=" "/>
      <w:lvlJc w:val="left"/>
      <w:pPr>
        <w:ind w:left="2520" w:hanging="360"/>
      </w:pPr>
    </w:lvl>
    <w:lvl w:ilvl="3" w:tplc="A332570A">
      <w:start w:val="1"/>
      <w:numFmt w:val="none"/>
      <w:lvlText w:val=" "/>
      <w:lvlJc w:val="left"/>
      <w:pPr>
        <w:ind w:left="3240" w:hanging="360"/>
      </w:pPr>
    </w:lvl>
    <w:lvl w:ilvl="4" w:tplc="B1885DB6">
      <w:start w:val="1"/>
      <w:numFmt w:val="none"/>
      <w:lvlText w:val=" "/>
      <w:lvlJc w:val="left"/>
      <w:pPr>
        <w:ind w:left="3960" w:hanging="360"/>
      </w:pPr>
    </w:lvl>
    <w:lvl w:ilvl="5" w:tplc="79542920">
      <w:start w:val="1"/>
      <w:numFmt w:val="none"/>
      <w:lvlText w:val=" "/>
      <w:lvlJc w:val="left"/>
      <w:pPr>
        <w:ind w:left="4680" w:hanging="360"/>
      </w:pPr>
    </w:lvl>
    <w:lvl w:ilvl="6" w:tplc="0EAAFF94">
      <w:start w:val="1"/>
      <w:numFmt w:val="none"/>
      <w:lvlText w:val=" "/>
      <w:lvlJc w:val="left"/>
      <w:pPr>
        <w:ind w:left="5400" w:hanging="360"/>
      </w:pPr>
    </w:lvl>
    <w:lvl w:ilvl="7" w:tplc="725E0620">
      <w:start w:val="1"/>
      <w:numFmt w:val="none"/>
      <w:lvlText w:val=" "/>
      <w:lvlJc w:val="left"/>
      <w:pPr>
        <w:ind w:left="6120" w:hanging="360"/>
      </w:pPr>
    </w:lvl>
    <w:lvl w:ilvl="8" w:tplc="429A7300">
      <w:start w:val="1"/>
      <w:numFmt w:val="none"/>
      <w:lvlText w:val=" "/>
      <w:lvlJc w:val="left"/>
      <w:pPr>
        <w:ind w:left="6840" w:hanging="360"/>
      </w:pPr>
    </w:lvl>
  </w:abstractNum>
  <w:abstractNum w:abstractNumId="3" w15:restartNumberingAfterBreak="0">
    <w:nsid w:val="49A2038F"/>
    <w:multiLevelType w:val="hybridMultilevel"/>
    <w:tmpl w:val="65DE6DAC"/>
    <w:lvl w:ilvl="0" w:tplc="D738FD64">
      <w:start w:val="1"/>
      <w:numFmt w:val="none"/>
      <w:lvlText w:val=" "/>
      <w:lvlJc w:val="left"/>
      <w:pPr>
        <w:ind w:left="1080" w:hanging="360"/>
      </w:pPr>
    </w:lvl>
    <w:lvl w:ilvl="1" w:tplc="7DD4C0D6">
      <w:start w:val="1"/>
      <w:numFmt w:val="none"/>
      <w:lvlText w:val=" "/>
      <w:lvlJc w:val="left"/>
      <w:pPr>
        <w:ind w:left="1800" w:hanging="360"/>
      </w:pPr>
    </w:lvl>
    <w:lvl w:ilvl="2" w:tplc="83D63BC2">
      <w:start w:val="1"/>
      <w:numFmt w:val="none"/>
      <w:lvlText w:val=" "/>
      <w:lvlJc w:val="left"/>
      <w:pPr>
        <w:ind w:left="2520" w:hanging="360"/>
      </w:pPr>
    </w:lvl>
    <w:lvl w:ilvl="3" w:tplc="D46CB256">
      <w:start w:val="1"/>
      <w:numFmt w:val="none"/>
      <w:lvlText w:val=" "/>
      <w:lvlJc w:val="left"/>
      <w:pPr>
        <w:ind w:left="3240" w:hanging="360"/>
      </w:pPr>
    </w:lvl>
    <w:lvl w:ilvl="4" w:tplc="3430683C">
      <w:start w:val="1"/>
      <w:numFmt w:val="none"/>
      <w:lvlText w:val=" "/>
      <w:lvlJc w:val="left"/>
      <w:pPr>
        <w:ind w:left="3960" w:hanging="360"/>
      </w:pPr>
    </w:lvl>
    <w:lvl w:ilvl="5" w:tplc="60DAE87E">
      <w:start w:val="1"/>
      <w:numFmt w:val="none"/>
      <w:lvlText w:val=" "/>
      <w:lvlJc w:val="left"/>
      <w:pPr>
        <w:ind w:left="4680" w:hanging="360"/>
      </w:pPr>
    </w:lvl>
    <w:lvl w:ilvl="6" w:tplc="E98A0B76">
      <w:start w:val="1"/>
      <w:numFmt w:val="none"/>
      <w:lvlText w:val=" "/>
      <w:lvlJc w:val="left"/>
      <w:pPr>
        <w:ind w:left="5400" w:hanging="360"/>
      </w:pPr>
    </w:lvl>
    <w:lvl w:ilvl="7" w:tplc="E774C9B8">
      <w:start w:val="1"/>
      <w:numFmt w:val="none"/>
      <w:lvlText w:val=" "/>
      <w:lvlJc w:val="left"/>
      <w:pPr>
        <w:ind w:left="6120" w:hanging="360"/>
      </w:pPr>
    </w:lvl>
    <w:lvl w:ilvl="8" w:tplc="52EED438">
      <w:start w:val="1"/>
      <w:numFmt w:val="none"/>
      <w:lvlText w:val=" "/>
      <w:lvlJc w:val="left"/>
      <w:pPr>
        <w:ind w:left="6840" w:hanging="360"/>
      </w:pPr>
    </w:lvl>
  </w:abstractNum>
  <w:abstractNum w:abstractNumId="4" w15:restartNumberingAfterBreak="0">
    <w:nsid w:val="5A9662D1"/>
    <w:multiLevelType w:val="hybridMultilevel"/>
    <w:tmpl w:val="7B4A4900"/>
    <w:lvl w:ilvl="0" w:tplc="040CA542">
      <w:start w:val="1"/>
      <w:numFmt w:val="none"/>
      <w:lvlText w:val=" "/>
      <w:lvlJc w:val="left"/>
      <w:pPr>
        <w:ind w:left="1080" w:hanging="360"/>
      </w:pPr>
    </w:lvl>
    <w:lvl w:ilvl="1" w:tplc="5CEA179A">
      <w:start w:val="1"/>
      <w:numFmt w:val="none"/>
      <w:lvlText w:val=" "/>
      <w:lvlJc w:val="left"/>
      <w:pPr>
        <w:ind w:left="1800" w:hanging="360"/>
      </w:pPr>
    </w:lvl>
    <w:lvl w:ilvl="2" w:tplc="CCA42860">
      <w:start w:val="1"/>
      <w:numFmt w:val="none"/>
      <w:lvlText w:val=" "/>
      <w:lvlJc w:val="left"/>
      <w:pPr>
        <w:ind w:left="2520" w:hanging="360"/>
      </w:pPr>
    </w:lvl>
    <w:lvl w:ilvl="3" w:tplc="48BA9F38">
      <w:start w:val="1"/>
      <w:numFmt w:val="none"/>
      <w:lvlText w:val=" "/>
      <w:lvlJc w:val="left"/>
      <w:pPr>
        <w:ind w:left="3240" w:hanging="360"/>
      </w:pPr>
    </w:lvl>
    <w:lvl w:ilvl="4" w:tplc="AE520D6C">
      <w:start w:val="1"/>
      <w:numFmt w:val="none"/>
      <w:lvlText w:val=" "/>
      <w:lvlJc w:val="left"/>
      <w:pPr>
        <w:ind w:left="3960" w:hanging="360"/>
      </w:pPr>
    </w:lvl>
    <w:lvl w:ilvl="5" w:tplc="3C46BA0C">
      <w:start w:val="1"/>
      <w:numFmt w:val="none"/>
      <w:lvlText w:val=" "/>
      <w:lvlJc w:val="left"/>
      <w:pPr>
        <w:ind w:left="4680" w:hanging="360"/>
      </w:pPr>
    </w:lvl>
    <w:lvl w:ilvl="6" w:tplc="F6D60B1A">
      <w:start w:val="1"/>
      <w:numFmt w:val="none"/>
      <w:lvlText w:val=" "/>
      <w:lvlJc w:val="left"/>
      <w:pPr>
        <w:ind w:left="5400" w:hanging="360"/>
      </w:pPr>
    </w:lvl>
    <w:lvl w:ilvl="7" w:tplc="358CABE4">
      <w:start w:val="1"/>
      <w:numFmt w:val="none"/>
      <w:lvlText w:val=" "/>
      <w:lvlJc w:val="left"/>
      <w:pPr>
        <w:ind w:left="6120" w:hanging="360"/>
      </w:pPr>
    </w:lvl>
    <w:lvl w:ilvl="8" w:tplc="BAFCE42E">
      <w:start w:val="1"/>
      <w:numFmt w:val="none"/>
      <w:lvlText w:val=" "/>
      <w:lvlJc w:val="left"/>
      <w:pPr>
        <w:ind w:left="6840" w:hanging="360"/>
      </w:pPr>
    </w:lvl>
  </w:abstractNum>
  <w:num w:numId="1">
    <w:abstractNumId w:val="3"/>
    <w:lvlOverride w:ilvl="0">
      <w:startOverride w:val="1"/>
    </w:lvlOverride>
  </w:num>
  <w:num w:numId="2">
    <w:abstractNumId w:val="0"/>
    <w:lvlOverride w:ilvl="0">
      <w:startOverride w:val="1"/>
    </w:lvlOverride>
  </w:num>
  <w:num w:numId="3">
    <w:abstractNumId w:val="4"/>
    <w:lvlOverride w:ilvl="0">
      <w:startOverride w:val="1"/>
    </w:lvlOverride>
  </w:num>
  <w:num w:numId="4">
    <w:abstractNumId w:val="1"/>
    <w:lvlOverride w:ilvl="0">
      <w:startOverride w:val="1"/>
    </w:lvlOverride>
  </w:num>
  <w:num w:numId="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6F8D"/>
    <w:rsid w:val="002E0CCC"/>
    <w:rsid w:val="00806F8D"/>
    <w:rsid w:val="009F0859"/>
    <w:rsid w:val="00B16DFE"/>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A67BF"/>
  <w15:docId w15:val="{18233002-C9F3-42D3-9FD3-7C938BDFE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b/>
      <w:bCs/>
      <w:color w:val="365F91"/>
      <w:sz w:val="28"/>
      <w:szCs w:val="28"/>
    </w:rPr>
  </w:style>
  <w:style w:type="paragraph" w:styleId="Heading2">
    <w:name w:val="heading 2"/>
    <w:uiPriority w:val="9"/>
    <w:unhideWhenUsed/>
    <w:qFormat/>
    <w:pPr>
      <w:keepNext/>
      <w:keepLines/>
      <w:spacing w:before="200" w:after="0"/>
      <w:outlineLvl w:val="1"/>
    </w:pPr>
    <w:rPr>
      <w:b/>
      <w:bCs/>
      <w:color w:val="4F81BD"/>
      <w:sz w:val="26"/>
      <w:szCs w:val="26"/>
    </w:rPr>
  </w:style>
  <w:style w:type="paragraph" w:styleId="Heading3">
    <w:name w:val="heading 3"/>
    <w:uiPriority w:val="9"/>
    <w:unhideWhenUsed/>
    <w:qFormat/>
    <w:pPr>
      <w:keepNext/>
      <w:keepLines/>
      <w:spacing w:before="200" w:after="0"/>
      <w:outlineLvl w:val="2"/>
    </w:pPr>
    <w:rPr>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qFormat/>
    <w:pPr>
      <w:keepLines/>
      <w:contextualSpacing/>
    </w:pPr>
    <w:rPr>
      <w:rFonts w:ascii="Arial" w:eastAsia="Arial" w:hAnsi="Arial" w:cs="Arial"/>
      <w:caps/>
      <w:color w:val="000000"/>
    </w:rPr>
  </w:style>
  <w:style w:type="paragraph" w:styleId="TOC2">
    <w:name w:val="toc 2"/>
    <w:qFormat/>
    <w:pPr>
      <w:keepLines/>
      <w:contextualSpacing/>
    </w:pPr>
    <w:rPr>
      <w:rFonts w:ascii="Arial" w:eastAsia="Arial" w:hAnsi="Arial"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6.png"/><Relationship Id="rId42" Type="http://schemas.openxmlformats.org/officeDocument/2006/relationships/image" Target="media/image25.png"/><Relationship Id="rId47" Type="http://schemas.openxmlformats.org/officeDocument/2006/relationships/image" Target="media/image28.png"/><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image" Target="media/image55.png"/><Relationship Id="rId89" Type="http://schemas.openxmlformats.org/officeDocument/2006/relationships/footer" Target="footer14.xml"/><Relationship Id="rId16" Type="http://schemas.openxmlformats.org/officeDocument/2006/relationships/header" Target="header3.xml"/><Relationship Id="rId11" Type="http://schemas.openxmlformats.org/officeDocument/2006/relationships/image" Target="media/image4.png"/><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2.png"/><Relationship Id="rId58" Type="http://schemas.openxmlformats.org/officeDocument/2006/relationships/image" Target="media/image35.png"/><Relationship Id="rId74" Type="http://schemas.openxmlformats.org/officeDocument/2006/relationships/image" Target="media/image49.png"/><Relationship Id="rId79" Type="http://schemas.openxmlformats.org/officeDocument/2006/relationships/header" Target="header11.xml"/><Relationship Id="rId5" Type="http://schemas.openxmlformats.org/officeDocument/2006/relationships/footnotes" Target="footnotes.xml"/><Relationship Id="rId90" Type="http://schemas.openxmlformats.org/officeDocument/2006/relationships/header" Target="header14.xml"/><Relationship Id="rId95" Type="http://schemas.openxmlformats.org/officeDocument/2006/relationships/fontTable" Target="fontTable.xml"/><Relationship Id="rId22" Type="http://schemas.openxmlformats.org/officeDocument/2006/relationships/header" Target="header5.xml"/><Relationship Id="rId27" Type="http://schemas.openxmlformats.org/officeDocument/2006/relationships/image" Target="media/image10.png"/><Relationship Id="rId43" Type="http://schemas.openxmlformats.org/officeDocument/2006/relationships/image" Target="media/image26.png"/><Relationship Id="rId48" Type="http://schemas.openxmlformats.org/officeDocument/2006/relationships/image" Target="media/image29.png"/><Relationship Id="rId64" Type="http://schemas.openxmlformats.org/officeDocument/2006/relationships/image" Target="media/image39.png"/><Relationship Id="rId69" Type="http://schemas.openxmlformats.org/officeDocument/2006/relationships/image" Target="media/image44.png"/><Relationship Id="rId8" Type="http://schemas.openxmlformats.org/officeDocument/2006/relationships/image" Target="media/image2.png"/><Relationship Id="rId51" Type="http://schemas.openxmlformats.org/officeDocument/2006/relationships/image" Target="media/image30.png"/><Relationship Id="rId72" Type="http://schemas.openxmlformats.org/officeDocument/2006/relationships/image" Target="media/image47.png"/><Relationship Id="rId80" Type="http://schemas.openxmlformats.org/officeDocument/2006/relationships/footer" Target="footer12.xml"/><Relationship Id="rId85" Type="http://schemas.openxmlformats.org/officeDocument/2006/relationships/image" Target="media/image56.png"/><Relationship Id="rId93" Type="http://schemas.openxmlformats.org/officeDocument/2006/relationships/header" Target="header15.xm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footer" Target="footer7.xml"/><Relationship Id="rId59" Type="http://schemas.openxmlformats.org/officeDocument/2006/relationships/image" Target="media/image36.png"/><Relationship Id="rId67" Type="http://schemas.openxmlformats.org/officeDocument/2006/relationships/image" Target="media/image42.png"/><Relationship Id="rId20" Type="http://schemas.openxmlformats.org/officeDocument/2006/relationships/image" Target="media/image5.png"/><Relationship Id="rId41" Type="http://schemas.openxmlformats.org/officeDocument/2006/relationships/image" Target="media/image24.png"/><Relationship Id="rId54" Type="http://schemas.openxmlformats.org/officeDocument/2006/relationships/header" Target="header8.xml"/><Relationship Id="rId62" Type="http://schemas.openxmlformats.org/officeDocument/2006/relationships/footer" Target="footer10.xml"/><Relationship Id="rId70" Type="http://schemas.openxmlformats.org/officeDocument/2006/relationships/image" Target="media/image45.png"/><Relationship Id="rId75" Type="http://schemas.openxmlformats.org/officeDocument/2006/relationships/header" Target="header10.xml"/><Relationship Id="rId83" Type="http://schemas.openxmlformats.org/officeDocument/2006/relationships/image" Target="media/image54.png"/><Relationship Id="rId88" Type="http://schemas.openxmlformats.org/officeDocument/2006/relationships/header" Target="header13.xml"/><Relationship Id="rId91" Type="http://schemas.openxmlformats.org/officeDocument/2006/relationships/footer" Target="footer15.xm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header" Target="header7.xml"/><Relationship Id="rId57" Type="http://schemas.openxmlformats.org/officeDocument/2006/relationships/image" Target="media/image34.png"/><Relationship Id="rId10" Type="http://schemas.openxmlformats.org/officeDocument/2006/relationships/footer" Target="footer1.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1.png"/><Relationship Id="rId60" Type="http://schemas.openxmlformats.org/officeDocument/2006/relationships/image" Target="media/image37.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1.png"/><Relationship Id="rId81" Type="http://schemas.openxmlformats.org/officeDocument/2006/relationships/image" Target="media/image52.png"/><Relationship Id="rId86" Type="http://schemas.openxmlformats.org/officeDocument/2006/relationships/header" Target="header12.xml"/><Relationship Id="rId94" Type="http://schemas.openxmlformats.org/officeDocument/2006/relationships/footer" Target="footer16.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footer" Target="footer8.xml"/><Relationship Id="rId55" Type="http://schemas.openxmlformats.org/officeDocument/2006/relationships/footer" Target="footer9.xml"/><Relationship Id="rId76" Type="http://schemas.openxmlformats.org/officeDocument/2006/relationships/footer" Target="footer11.xml"/><Relationship Id="rId7" Type="http://schemas.openxmlformats.org/officeDocument/2006/relationships/image" Target="media/image1.png"/><Relationship Id="rId71" Type="http://schemas.openxmlformats.org/officeDocument/2006/relationships/image" Target="media/image46.png"/><Relationship Id="rId92" Type="http://schemas.openxmlformats.org/officeDocument/2006/relationships/image" Target="media/image57.png"/><Relationship Id="rId2" Type="http://schemas.openxmlformats.org/officeDocument/2006/relationships/styles" Target="styles.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image" Target="media/image23.png"/><Relationship Id="rId45" Type="http://schemas.openxmlformats.org/officeDocument/2006/relationships/header" Target="header6.xml"/><Relationship Id="rId66" Type="http://schemas.openxmlformats.org/officeDocument/2006/relationships/image" Target="media/image41.png"/><Relationship Id="rId87" Type="http://schemas.openxmlformats.org/officeDocument/2006/relationships/footer" Target="footer13.xml"/><Relationship Id="rId61" Type="http://schemas.openxmlformats.org/officeDocument/2006/relationships/header" Target="header9.xml"/><Relationship Id="rId82" Type="http://schemas.openxmlformats.org/officeDocument/2006/relationships/image" Target="media/image53.png"/><Relationship Id="rId19" Type="http://schemas.openxmlformats.org/officeDocument/2006/relationships/footer" Target="footer5.xml"/><Relationship Id="rId14" Type="http://schemas.openxmlformats.org/officeDocument/2006/relationships/header" Target="header2.xm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3.png"/><Relationship Id="rId77"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42</Pages>
  <Words>14669</Words>
  <Characters>83614</Characters>
  <Application>Microsoft Office Word</Application>
  <DocSecurity>0</DocSecurity>
  <Lines>696</Lines>
  <Paragraphs>196</Paragraphs>
  <ScaleCrop>false</ScaleCrop>
  <Company/>
  <LinksUpToDate>false</LinksUpToDate>
  <CharactersWithSpaces>98087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alifariatoshi@gmail.com</cp:lastModifiedBy>
  <cp:revision>2</cp:revision>
  <dcterms:created xsi:type="dcterms:W3CDTF">2020-12-24T20:34:00Z</dcterms:created>
  <dcterms:modified xsi:type="dcterms:W3CDTF">2020-12-24T20:40:00Z</dcterms:modified>
</cp:coreProperties>
</file>